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612" w:rsidRPr="007D3612" w:rsidRDefault="007D3612" w:rsidP="007D3612">
      <w:pPr>
        <w:pStyle w:val="1"/>
        <w:pageBreakBefore/>
        <w:tabs>
          <w:tab w:val="clear" w:pos="510"/>
        </w:tabs>
        <w:ind w:left="0" w:firstLine="0"/>
        <w:jc w:val="center"/>
        <w:rPr>
          <w:sz w:val="32"/>
          <w:lang w:val="el-GR"/>
        </w:rPr>
      </w:pPr>
      <w:r w:rsidRPr="007D3612">
        <w:rPr>
          <w:sz w:val="32"/>
          <w:lang w:val="el-GR"/>
        </w:rPr>
        <w:t>ΠΑΡΑΡΤΗΜΑ Ι – Αναλυτική Περιγραφή Φυσικού και Οικονομικού Αντικειμένου της Σύμβασης</w:t>
      </w:r>
    </w:p>
    <w:p w:rsidR="00184307" w:rsidRPr="00C24DC8" w:rsidRDefault="00184307" w:rsidP="00184307">
      <w:pPr>
        <w:keepNext/>
        <w:numPr>
          <w:ilvl w:val="0"/>
          <w:numId w:val="1"/>
        </w:numPr>
        <w:tabs>
          <w:tab w:val="clear" w:pos="360"/>
          <w:tab w:val="num" w:pos="502"/>
          <w:tab w:val="num" w:pos="567"/>
        </w:tabs>
        <w:spacing w:before="100" w:beforeAutospacing="1" w:after="100" w:afterAutospacing="1" w:line="360" w:lineRule="auto"/>
        <w:ind w:left="567" w:hanging="567"/>
        <w:outlineLvl w:val="0"/>
        <w:rPr>
          <w:rFonts w:cs="Times New Roman"/>
          <w:b/>
          <w:bCs/>
          <w:sz w:val="26"/>
          <w:szCs w:val="26"/>
          <w:lang w:eastAsia="el-GR"/>
        </w:rPr>
      </w:pPr>
      <w:bookmarkStart w:id="0" w:name="_Toc314537430"/>
      <w:bookmarkStart w:id="1" w:name="_Toc314537431"/>
      <w:bookmarkStart w:id="2" w:name="_Toc400461974"/>
      <w:bookmarkStart w:id="3" w:name="_Toc477793957"/>
      <w:bookmarkEnd w:id="0"/>
      <w:bookmarkEnd w:id="1"/>
      <w:r w:rsidRPr="00C24DC8">
        <w:rPr>
          <w:rFonts w:cs="Times New Roman"/>
          <w:b/>
          <w:bCs/>
          <w:sz w:val="26"/>
          <w:szCs w:val="26"/>
          <w:lang w:eastAsia="el-GR"/>
        </w:rPr>
        <w:t>Περιβάλλον του Έργου</w:t>
      </w:r>
      <w:bookmarkEnd w:id="2"/>
      <w:bookmarkEnd w:id="3"/>
    </w:p>
    <w:p w:rsidR="00184307" w:rsidRPr="00B743ED" w:rsidRDefault="00184307" w:rsidP="00184307">
      <w:pPr>
        <w:pStyle w:val="2"/>
        <w:tabs>
          <w:tab w:val="clear" w:pos="360"/>
          <w:tab w:val="clear" w:pos="1553"/>
          <w:tab w:val="num" w:pos="502"/>
          <w:tab w:val="left" w:pos="709"/>
        </w:tabs>
        <w:ind w:left="502"/>
        <w:rPr>
          <w:lang w:val="el-GR" w:eastAsia="el-GR"/>
        </w:rPr>
      </w:pPr>
      <w:bookmarkStart w:id="4" w:name="_Toc400461975"/>
      <w:bookmarkStart w:id="5" w:name="_Toc477793958"/>
      <w:r w:rsidRPr="00B743ED">
        <w:rPr>
          <w:lang w:val="el-GR" w:eastAsia="el-GR"/>
        </w:rPr>
        <w:t>Εμπλεκόμενοι στην υλοποίηση του αντικειμένου του Έργου</w:t>
      </w:r>
      <w:bookmarkEnd w:id="4"/>
      <w:bookmarkEnd w:id="5"/>
    </w:p>
    <w:p w:rsidR="00184307" w:rsidRPr="00C24DC8" w:rsidRDefault="00184307" w:rsidP="00184307">
      <w:pPr>
        <w:keepNext/>
        <w:numPr>
          <w:ilvl w:val="2"/>
          <w:numId w:val="1"/>
        </w:numPr>
        <w:tabs>
          <w:tab w:val="clear" w:pos="720"/>
          <w:tab w:val="num" w:pos="851"/>
        </w:tabs>
        <w:spacing w:before="100" w:beforeAutospacing="1" w:after="100" w:afterAutospacing="1" w:line="360" w:lineRule="auto"/>
        <w:ind w:left="851" w:hanging="851"/>
        <w:outlineLvl w:val="2"/>
        <w:rPr>
          <w:rFonts w:cs="Times New Roman"/>
          <w:b/>
          <w:bCs/>
          <w:sz w:val="26"/>
          <w:szCs w:val="26"/>
          <w:lang w:eastAsia="el-GR"/>
        </w:rPr>
      </w:pPr>
      <w:bookmarkStart w:id="6" w:name="_Toc286144429"/>
      <w:bookmarkStart w:id="7" w:name="_Toc400461976"/>
      <w:bookmarkStart w:id="8" w:name="_Toc477793959"/>
      <w:bookmarkEnd w:id="6"/>
      <w:r w:rsidRPr="00C24DC8">
        <w:rPr>
          <w:rFonts w:cs="Times New Roman"/>
          <w:b/>
          <w:bCs/>
          <w:sz w:val="26"/>
          <w:szCs w:val="26"/>
          <w:lang w:eastAsia="el-GR"/>
        </w:rPr>
        <w:t>Συνοπτική παρουσίαση του ΕΤΕΑΝ</w:t>
      </w:r>
      <w:bookmarkEnd w:id="7"/>
      <w:bookmarkEnd w:id="8"/>
    </w:p>
    <w:p w:rsidR="00184307" w:rsidRPr="00C24DC8" w:rsidRDefault="00184307" w:rsidP="00184307">
      <w:pPr>
        <w:spacing w:before="100" w:beforeAutospacing="1" w:after="100" w:afterAutospacing="1" w:line="360" w:lineRule="auto"/>
        <w:jc w:val="both"/>
        <w:rPr>
          <w:color w:val="000000"/>
          <w:lang w:eastAsia="el-GR"/>
        </w:rPr>
      </w:pPr>
      <w:r w:rsidRPr="00C24DC8">
        <w:rPr>
          <w:color w:val="000000"/>
          <w:lang w:eastAsia="el-GR"/>
        </w:rPr>
        <w:t>Το Εθνικό Ταμείο Επιχειρηματικότητας &amp; Ανάπτυξης συστάθηκε με τον Νόμο 3912/2011 (ΦΕΚ Α΄17/17.2.2011), ΕΤΕΑΝ ΑΕ και αποτελεί καθολικό διάδοχο σχήμα της ΤΕΜΠΜΕ ΑΕ(ΦΕΚ Α΄17/17.2.2011).</w:t>
      </w:r>
    </w:p>
    <w:p w:rsidR="00184307" w:rsidRPr="00C24DC8" w:rsidRDefault="00184307" w:rsidP="00184307">
      <w:pPr>
        <w:spacing w:before="100" w:beforeAutospacing="1" w:after="100" w:afterAutospacing="1" w:line="360" w:lineRule="auto"/>
        <w:jc w:val="both"/>
        <w:rPr>
          <w:color w:val="000000"/>
          <w:lang w:eastAsia="el-GR"/>
        </w:rPr>
      </w:pPr>
      <w:r w:rsidRPr="00C24DC8">
        <w:rPr>
          <w:color w:val="000000"/>
          <w:lang w:eastAsia="el-GR"/>
        </w:rPr>
        <w:t>Η Εταιρία λειτουργεί ως ένα εξειδικευμένο «χρηματοδοτικό ίδρυμα» και αποτελεί ένα ειδικό Ταμείο στήριξης των επιχειρήσεων με ιδιαίτερη έμφαση στις Μικρομεσαίες Επιχειρήσεις (ΜΜΕ). Βασική επιδίωξη του Ε.Τ.Ε.ΑΝ. Α.Ε. είναι η βελτίωση της πρόσβασης των επιχειρήσεων στην χρηματοδότηση με ευνοϊκούς όρους και η στήριξη ίδρυσης, ανάπτυξης, επέκτασης και διεθνοποίησης ανταγωνιστικών και/ή εξωστρεφών επιχειρήσεων.</w:t>
      </w:r>
    </w:p>
    <w:p w:rsidR="00184307" w:rsidRPr="00C24DC8" w:rsidRDefault="00184307" w:rsidP="00184307">
      <w:pPr>
        <w:spacing w:before="100" w:beforeAutospacing="1" w:after="100" w:afterAutospacing="1" w:line="360" w:lineRule="auto"/>
        <w:jc w:val="both"/>
        <w:rPr>
          <w:color w:val="000000"/>
          <w:lang w:eastAsia="el-GR"/>
        </w:rPr>
      </w:pPr>
      <w:r w:rsidRPr="00C24DC8">
        <w:rPr>
          <w:color w:val="000000"/>
          <w:lang w:eastAsia="el-GR"/>
        </w:rPr>
        <w:t>Σκοπός της Εταιρείας είναι:</w:t>
      </w:r>
    </w:p>
    <w:p w:rsidR="00184307" w:rsidRPr="00C24DC8" w:rsidRDefault="00184307" w:rsidP="00184307">
      <w:pPr>
        <w:spacing w:before="100" w:beforeAutospacing="1" w:after="100" w:afterAutospacing="1" w:line="360" w:lineRule="auto"/>
        <w:jc w:val="both"/>
        <w:rPr>
          <w:color w:val="000000"/>
          <w:lang w:eastAsia="el-GR"/>
        </w:rPr>
      </w:pPr>
      <w:r w:rsidRPr="00C24DC8">
        <w:rPr>
          <w:color w:val="000000"/>
          <w:lang w:eastAsia="el-GR"/>
        </w:rPr>
        <w:t>α) Η προώθηση της επιχειρηματικότητας και ειδικότερα η ενίσχυση της πρόσβασης στη χρηματοδότηση για την ίδρυση νέων, καινοτόμων και δυναμικών επιχειρήσεων, που συμβάλλουν στη βιώσιμη και φιλική στο περιβάλλον ανάπτυξη.</w:t>
      </w:r>
    </w:p>
    <w:p w:rsidR="00184307" w:rsidRPr="00C24DC8" w:rsidRDefault="00184307" w:rsidP="00184307">
      <w:pPr>
        <w:spacing w:before="100" w:beforeAutospacing="1" w:after="100" w:afterAutospacing="1" w:line="360" w:lineRule="auto"/>
        <w:jc w:val="both"/>
        <w:rPr>
          <w:color w:val="000000"/>
          <w:lang w:eastAsia="el-GR"/>
        </w:rPr>
      </w:pPr>
      <w:r w:rsidRPr="00C24DC8">
        <w:rPr>
          <w:color w:val="000000"/>
          <w:lang w:eastAsia="el-GR"/>
        </w:rPr>
        <w:t>β) Η διευκόλυνση και βελτίωση της πρόσβασης των Επιχειρήσεων και των τριών τομέων της οικονομίας, πρωτογενούς, δευτερογενούς και τριτογενούς και ιδίως των Πολύ Μικρών, Μικρών και Μεσαίων Επιχειρήσεων, σύμφωνα με τον ορισμό αυτών στη Σύσταση της Ε.Ε. 2003/361/ΕΚ, όπως ισχύει κάθε φορά, στη χρηματοδότηση για την προώθηση της ανταγωνιστικότητάς τους, της ανάπτυξής τους, του τεχνολογικού και οργανωτικού εκσυγχρονισμού τους και για την εισαγωγή καινοτομιών στην οργάνωση και λειτουργία τους.</w:t>
      </w:r>
    </w:p>
    <w:p w:rsidR="00184307" w:rsidRPr="00C24DC8" w:rsidRDefault="00184307" w:rsidP="00184307">
      <w:pPr>
        <w:spacing w:before="100" w:beforeAutospacing="1" w:after="100" w:afterAutospacing="1" w:line="360" w:lineRule="auto"/>
        <w:jc w:val="both"/>
        <w:rPr>
          <w:color w:val="000000"/>
          <w:lang w:eastAsia="el-GR"/>
        </w:rPr>
      </w:pPr>
      <w:r w:rsidRPr="00C24DC8">
        <w:rPr>
          <w:color w:val="000000"/>
          <w:lang w:eastAsia="el-GR"/>
        </w:rPr>
        <w:lastRenderedPageBreak/>
        <w:t>γ) Η προώθηση της κοινωνικής οικονομίας και επιχειρηματικότητας και ειδικότερα η πρόσβαση στη χρηματοδότηση επιχειρήσεων ή άλλων οργανισμών που δραστηριοποιούνται στον τομέα της κοινωνικής οικονομίας, καθώς και η πρόσβαση στη χρηματοδότηση για την προώθηση της επιχειρηματικότητας και της απασχόλησης, στο πλαίσιο της οικονομικής και κοινωνικής συνοχής.</w:t>
      </w:r>
    </w:p>
    <w:p w:rsidR="00184307" w:rsidRPr="00C24DC8" w:rsidRDefault="00184307" w:rsidP="00184307">
      <w:pPr>
        <w:spacing w:before="100" w:beforeAutospacing="1" w:after="100" w:afterAutospacing="1" w:line="360" w:lineRule="auto"/>
        <w:jc w:val="both"/>
        <w:rPr>
          <w:color w:val="000000"/>
          <w:lang w:eastAsia="el-GR"/>
        </w:rPr>
      </w:pPr>
      <w:r w:rsidRPr="00C24DC8">
        <w:rPr>
          <w:color w:val="000000"/>
          <w:lang w:eastAsia="el-GR"/>
        </w:rPr>
        <w:t>δ) Η προώθηση της συνεπένδυσης ή συμμετοχής σε Επενδυτικά Ταμεία, σε Μέσα Χρηματοοικονομικής Τεχνικής ή σε Επενδυτικά Σχήματα, στα οποία περιλαμβάνονται σχήματα και συμβάσεις παραχώρησης ή Συμπράξεις Δημοσίου και Ιδιωτικού Τομέα, με στόχο: i) την προώθηση της επιχειρηματικότητας, της καινοτομίας, της έρευνας και της ανάπτυξης των επιχειρήσεων ή άλλων νομικών προσώπων που ασκούν οικονομική δραστηριότητα, ii) τη βιώσιμη και φιλική προς το περιβάλλον ανασυγκρότηση, ανάπλαση και ανάπτυξη αστικών ή άλλων περιοχών και οργανωμένων περιοχών οικονομικής δραστηριότητας, όπως ΒΙ.ΠΕ., ΒΙ.Ο.ΠΑ., τεχνολογικά και ερευνητικά πάρκα, ζώνες καινοτομίας, ελεύθερες ζώνες, iii) την εξοικονόμηση ενέργειας, την προώθηση δραστηριοτήτων που αξιοποιούν νέες και ανανεώσιμες πηγές ενέργειας και την παραγωγή τεχνολογίας για την εξοικονόμηση ενέργειας, iv) την αναβάθμιση και προστασία του περιβάλλοντος και τη διαχείριση των υδάτινων πόρων.</w:t>
      </w:r>
    </w:p>
    <w:p w:rsidR="00184307" w:rsidRPr="008B289D" w:rsidRDefault="00184307" w:rsidP="00184307">
      <w:pPr>
        <w:pStyle w:val="3"/>
        <w:tabs>
          <w:tab w:val="clear" w:pos="720"/>
          <w:tab w:val="clear" w:pos="2160"/>
          <w:tab w:val="num" w:pos="851"/>
        </w:tabs>
        <w:suppressAutoHyphens w:val="0"/>
        <w:spacing w:before="100" w:beforeAutospacing="1" w:after="100" w:afterAutospacing="1" w:line="360" w:lineRule="auto"/>
        <w:ind w:left="851" w:hanging="851"/>
        <w:rPr>
          <w:lang w:val="el-GR"/>
        </w:rPr>
      </w:pPr>
      <w:bookmarkStart w:id="9" w:name="_Toc400461978"/>
      <w:r>
        <w:rPr>
          <w:lang w:val="el-GR"/>
        </w:rPr>
        <w:t xml:space="preserve"> </w:t>
      </w:r>
      <w:bookmarkStart w:id="10" w:name="_Toc477793960"/>
      <w:r w:rsidRPr="008B289D">
        <w:rPr>
          <w:lang w:val="el-GR"/>
        </w:rPr>
        <w:t>Όργανα και Επιτροπές (Διακυβέρνηση του Έργου)</w:t>
      </w:r>
      <w:bookmarkEnd w:id="9"/>
      <w:bookmarkEnd w:id="10"/>
    </w:p>
    <w:p w:rsidR="00184307" w:rsidRPr="008B289D" w:rsidRDefault="00184307" w:rsidP="00184307">
      <w:pPr>
        <w:pStyle w:val="4"/>
        <w:tabs>
          <w:tab w:val="num" w:pos="1134"/>
        </w:tabs>
        <w:spacing w:line="360" w:lineRule="auto"/>
        <w:rPr>
          <w:color w:val="000000"/>
          <w:lang w:val="el-GR"/>
        </w:rPr>
      </w:pPr>
      <w:bookmarkStart w:id="11" w:name="_Toc286144441"/>
      <w:bookmarkStart w:id="12" w:name="_Toc286144442"/>
      <w:bookmarkEnd w:id="11"/>
      <w:bookmarkEnd w:id="12"/>
      <w:r w:rsidRPr="008B289D">
        <w:rPr>
          <w:color w:val="000000"/>
          <w:lang w:val="el-GR"/>
        </w:rPr>
        <w:t>Επιτροπή Παρακολούθησης και Παραλαβής Έργου (ΕΠΠΕ)</w:t>
      </w:r>
    </w:p>
    <w:p w:rsidR="00184307" w:rsidRDefault="00184307" w:rsidP="00184307">
      <w:pPr>
        <w:spacing w:before="100" w:beforeAutospacing="1" w:after="100" w:afterAutospacing="1" w:line="360" w:lineRule="auto"/>
        <w:jc w:val="both"/>
        <w:rPr>
          <w:color w:val="000000"/>
        </w:rPr>
      </w:pPr>
      <w:r w:rsidRPr="00D314F7">
        <w:rPr>
          <w:color w:val="000000"/>
        </w:rPr>
        <w:t>Το μεσαίο επίπεδο διοίκησης του έργου αφορά στην καθημερινή διοίκηση και διαχείριση του έργου και αποτελεί το βασικό σημείο επαφής της Αναθέτουσας Αρχής με τον Ανάδοχο υλοποίησης του έργου και κάθε άλλο εμπλεκόμενο. Στο επίπεδο αυτό, θα οριστεί Επιτροπή Παρακολούθησης και Παραλαβής Έργου (ΕΠΠΕ). Κύριες αρμοδιότητες της ΕΠΠΕ αποτελούν η παρακολούθηση της πορείας υλοποίησης και η τμηματική και οριστική παραλαβή του Έργου.</w:t>
      </w:r>
      <w:r>
        <w:rPr>
          <w:color w:val="000000"/>
        </w:rPr>
        <w:t xml:space="preserve"> </w:t>
      </w:r>
    </w:p>
    <w:p w:rsidR="00184307" w:rsidRPr="008B289D" w:rsidRDefault="00184307" w:rsidP="00184307">
      <w:pPr>
        <w:pStyle w:val="4"/>
        <w:tabs>
          <w:tab w:val="num" w:pos="1134"/>
        </w:tabs>
        <w:spacing w:line="360" w:lineRule="auto"/>
        <w:rPr>
          <w:color w:val="000000"/>
          <w:lang w:val="el-GR"/>
        </w:rPr>
      </w:pPr>
      <w:r w:rsidRPr="008B289D">
        <w:rPr>
          <w:color w:val="000000"/>
          <w:lang w:val="el-GR"/>
        </w:rPr>
        <w:t xml:space="preserve">Επιτροπή </w:t>
      </w:r>
      <w:r>
        <w:rPr>
          <w:color w:val="000000"/>
          <w:lang w:val="el-GR"/>
        </w:rPr>
        <w:t>Διενέργειας Αξιολόγησης Προσφορών</w:t>
      </w:r>
      <w:r w:rsidRPr="008B289D">
        <w:rPr>
          <w:color w:val="000000"/>
          <w:lang w:val="el-GR"/>
        </w:rPr>
        <w:t xml:space="preserve"> (Ε</w:t>
      </w:r>
      <w:r>
        <w:rPr>
          <w:color w:val="000000"/>
          <w:lang w:val="el-GR"/>
        </w:rPr>
        <w:t>ΔΑΠ</w:t>
      </w:r>
      <w:r w:rsidRPr="008B289D">
        <w:rPr>
          <w:color w:val="000000"/>
          <w:lang w:val="el-GR"/>
        </w:rPr>
        <w:t>)</w:t>
      </w:r>
    </w:p>
    <w:p w:rsidR="00184307" w:rsidRPr="0016541E" w:rsidRDefault="00184307" w:rsidP="00184307">
      <w:pPr>
        <w:pStyle w:val="4"/>
        <w:tabs>
          <w:tab w:val="num" w:pos="1134"/>
        </w:tabs>
        <w:spacing w:line="360" w:lineRule="auto"/>
        <w:jc w:val="both"/>
        <w:rPr>
          <w:b w:val="0"/>
          <w:bCs w:val="0"/>
          <w:color w:val="000000"/>
          <w:sz w:val="24"/>
          <w:szCs w:val="24"/>
          <w:lang w:val="el-GR"/>
        </w:rPr>
      </w:pPr>
      <w:r w:rsidRPr="0016541E">
        <w:rPr>
          <w:b w:val="0"/>
          <w:bCs w:val="0"/>
          <w:color w:val="000000"/>
          <w:sz w:val="24"/>
          <w:szCs w:val="24"/>
          <w:lang w:val="el-GR"/>
        </w:rPr>
        <w:t xml:space="preserve">Η Επιτροπή αυτή, η οποία στελεχώνεται με απόφαση του Προέδρου και Διευθύνοντος Συμβούλου της Αναθέτουσας Αρχής, είναι επιφορτισμένη με την αξιολόγηση των προσφορών, σε κάθε στάδιο προβλεπόμενης διαδικασίας και το </w:t>
      </w:r>
      <w:r w:rsidRPr="0016541E">
        <w:rPr>
          <w:b w:val="0"/>
          <w:bCs w:val="0"/>
          <w:color w:val="000000"/>
          <w:sz w:val="24"/>
          <w:szCs w:val="24"/>
          <w:lang w:val="el-GR"/>
        </w:rPr>
        <w:lastRenderedPageBreak/>
        <w:t>πόρισμά της λειτουργεί ως εισήγηση στο Διοικητικό Συμβούλιο της εταιρείας, το οποίο είναι και το αποφασίζον όργανο.</w:t>
      </w:r>
    </w:p>
    <w:p w:rsidR="00184307" w:rsidRPr="008B289D" w:rsidRDefault="00184307" w:rsidP="00184307">
      <w:pPr>
        <w:pStyle w:val="1"/>
        <w:numPr>
          <w:ilvl w:val="0"/>
          <w:numId w:val="1"/>
        </w:numPr>
        <w:tabs>
          <w:tab w:val="clear" w:pos="360"/>
          <w:tab w:val="clear" w:pos="510"/>
          <w:tab w:val="clear" w:pos="720"/>
        </w:tabs>
        <w:suppressAutoHyphens w:val="0"/>
        <w:spacing w:before="100" w:beforeAutospacing="1" w:after="100" w:afterAutospacing="1"/>
        <w:ind w:left="502"/>
        <w:rPr>
          <w:lang w:val="el-GR"/>
        </w:rPr>
      </w:pPr>
      <w:bookmarkStart w:id="13" w:name="_Toc400461985"/>
      <w:bookmarkStart w:id="14" w:name="_Toc477793961"/>
      <w:r w:rsidRPr="008B289D">
        <w:rPr>
          <w:lang w:val="el-GR"/>
        </w:rPr>
        <w:t>Αντικείμενο, στόχοι και κρίσιμοι παράγοντες επιτυχίας του Έργου</w:t>
      </w:r>
      <w:bookmarkEnd w:id="13"/>
      <w:bookmarkEnd w:id="14"/>
    </w:p>
    <w:p w:rsidR="00184307" w:rsidRDefault="00184307" w:rsidP="00184307">
      <w:pPr>
        <w:pStyle w:val="2"/>
        <w:tabs>
          <w:tab w:val="clear" w:pos="360"/>
          <w:tab w:val="clear" w:pos="1553"/>
          <w:tab w:val="clear" w:pos="1980"/>
          <w:tab w:val="num" w:pos="502"/>
        </w:tabs>
        <w:suppressAutoHyphens w:val="0"/>
        <w:spacing w:before="100" w:beforeAutospacing="1" w:after="100" w:afterAutospacing="1" w:line="360" w:lineRule="auto"/>
        <w:ind w:left="502"/>
      </w:pPr>
      <w:bookmarkStart w:id="15" w:name="_Toc400461986"/>
      <w:bookmarkStart w:id="16" w:name="_Toc477793962"/>
      <w:proofErr w:type="spellStart"/>
      <w:r w:rsidRPr="00D6626A">
        <w:t>Αντικείμενο</w:t>
      </w:r>
      <w:proofErr w:type="spellEnd"/>
      <w:r w:rsidRPr="00D6626A">
        <w:t xml:space="preserve"> </w:t>
      </w:r>
      <w:proofErr w:type="spellStart"/>
      <w:r w:rsidRPr="00D6626A">
        <w:t>του</w:t>
      </w:r>
      <w:proofErr w:type="spellEnd"/>
      <w:r w:rsidRPr="00D6626A">
        <w:t xml:space="preserve"> </w:t>
      </w:r>
      <w:proofErr w:type="spellStart"/>
      <w:r>
        <w:t>Έργου</w:t>
      </w:r>
      <w:bookmarkEnd w:id="15"/>
      <w:bookmarkEnd w:id="16"/>
      <w:proofErr w:type="spellEnd"/>
    </w:p>
    <w:p w:rsidR="00673486" w:rsidRDefault="00673486" w:rsidP="00673486">
      <w:pPr>
        <w:rPr>
          <w:rFonts w:ascii="Calibri" w:hAnsi="Calibri"/>
        </w:rPr>
      </w:pPr>
    </w:p>
    <w:p w:rsidR="004609D7" w:rsidRDefault="004609D7" w:rsidP="004609D7">
      <w:pPr>
        <w:spacing w:line="360" w:lineRule="auto"/>
        <w:jc w:val="both"/>
        <w:rPr>
          <w:rFonts w:eastAsia="Calibri"/>
        </w:rPr>
      </w:pPr>
      <w:r w:rsidRPr="007F5D4F">
        <w:rPr>
          <w:rFonts w:cs="Arial"/>
        </w:rPr>
        <w:t xml:space="preserve">Αντικείμενο του διαγωνισμού, είναι η επιλογή αναδόχου για το έργο: </w:t>
      </w:r>
      <w:r w:rsidRPr="006C77C0">
        <w:rPr>
          <w:b/>
        </w:rPr>
        <w:t>«</w:t>
      </w:r>
      <w:r w:rsidRPr="00F2778E">
        <w:rPr>
          <w:b/>
        </w:rPr>
        <w:t>Προμήθεια αναλωσίμων και υπηρεσιών για την λειτουργία των Εκτυπωτών και των Φωτοτυπικών της ΕΤΕΑΝ ΑΕ</w:t>
      </w:r>
      <w:r w:rsidRPr="006C77C0">
        <w:rPr>
          <w:b/>
        </w:rPr>
        <w:t>»</w:t>
      </w:r>
      <w:r w:rsidRPr="007F5D4F">
        <w:rPr>
          <w:b/>
        </w:rPr>
        <w:t xml:space="preserve">, </w:t>
      </w:r>
      <w:r w:rsidRPr="00B03264">
        <w:rPr>
          <w:rFonts w:cs="Arial"/>
        </w:rPr>
        <w:t xml:space="preserve">και συγκεκριμένα </w:t>
      </w:r>
      <w:r>
        <w:rPr>
          <w:rFonts w:cs="Arial"/>
        </w:rPr>
        <w:t>ο</w:t>
      </w:r>
      <w:r w:rsidRPr="006C5309">
        <w:rPr>
          <w:rFonts w:cs="Arial"/>
        </w:rPr>
        <w:t xml:space="preserve"> διαγωνισμός θα αφορά τη </w:t>
      </w:r>
      <w:r w:rsidRPr="00DA21A2">
        <w:rPr>
          <w:rFonts w:cs="Arial"/>
        </w:rPr>
        <w:t xml:space="preserve">προληπτική συντήρηση, η επανορθωτική αποκατάσταση βλαβών καθώς και </w:t>
      </w:r>
      <w:r>
        <w:rPr>
          <w:rFonts w:cs="Arial"/>
        </w:rPr>
        <w:t>προαγορά υπηρεσιών εκτύπωσης</w:t>
      </w:r>
      <w:r w:rsidRPr="00DA21A2">
        <w:rPr>
          <w:rFonts w:cs="Arial"/>
        </w:rPr>
        <w:t xml:space="preserve"> (αναλώσιμων εκτυπωτικών μηχανημάτων γραφίτες και μελάνια) </w:t>
      </w:r>
      <w:r w:rsidRPr="003F79A5">
        <w:rPr>
          <w:rFonts w:eastAsia="Calibri"/>
        </w:rPr>
        <w:t xml:space="preserve">ώστε οι εκτυπωτές της ΕΤΕΑΝ ΑΕ όπως αυτοί αναφέρονται στον </w:t>
      </w:r>
      <w:r>
        <w:rPr>
          <w:rFonts w:eastAsia="Calibri"/>
        </w:rPr>
        <w:t>Π</w:t>
      </w:r>
      <w:r w:rsidRPr="003F79A5">
        <w:rPr>
          <w:rFonts w:eastAsia="Calibri"/>
        </w:rPr>
        <w:t xml:space="preserve">ίνακα 1 να μπορέσουν να εκτυπώσουν </w:t>
      </w:r>
      <w:proofErr w:type="spellStart"/>
      <w:r w:rsidRPr="003F79A5">
        <w:rPr>
          <w:rFonts w:eastAsia="Calibri"/>
        </w:rPr>
        <w:t>κατ</w:t>
      </w:r>
      <w:proofErr w:type="spellEnd"/>
      <w:r w:rsidRPr="003F79A5">
        <w:rPr>
          <w:rFonts w:eastAsia="Calibri"/>
        </w:rPr>
        <w:t xml:space="preserve"> ελάχιστον το αριθμό σελίδων που επίσης αναφέρεται στον </w:t>
      </w:r>
      <w:r>
        <w:rPr>
          <w:rFonts w:eastAsia="Calibri"/>
        </w:rPr>
        <w:t>Π</w:t>
      </w:r>
      <w:r w:rsidRPr="003F79A5">
        <w:rPr>
          <w:rFonts w:eastAsia="Calibri"/>
        </w:rPr>
        <w:t>ίνακα 1. Το όλο έργο θα έχει διάρκεια ένα (1) έτος ή μέχρι την εκτύπωση</w:t>
      </w:r>
      <w:r>
        <w:rPr>
          <w:rFonts w:eastAsia="Calibri"/>
        </w:rPr>
        <w:t xml:space="preserve"> των αναφερόμενων σελίδων (Π</w:t>
      </w:r>
      <w:r w:rsidRPr="003F79A5">
        <w:rPr>
          <w:rFonts w:eastAsia="Calibri"/>
        </w:rPr>
        <w:t xml:space="preserve">ίνακα 1).  </w:t>
      </w:r>
    </w:p>
    <w:p w:rsidR="004609D7" w:rsidRPr="003F79A5" w:rsidRDefault="004609D7" w:rsidP="004609D7">
      <w:pPr>
        <w:spacing w:line="360" w:lineRule="auto"/>
        <w:jc w:val="both"/>
        <w:rPr>
          <w:rFonts w:eastAsia="Calibri"/>
        </w:rPr>
      </w:pPr>
    </w:p>
    <w:tbl>
      <w:tblPr>
        <w:tblW w:w="5000" w:type="pct"/>
        <w:tblLook w:val="04A0" w:firstRow="1" w:lastRow="0" w:firstColumn="1" w:lastColumn="0" w:noHBand="0" w:noVBand="1"/>
      </w:tblPr>
      <w:tblGrid>
        <w:gridCol w:w="4016"/>
        <w:gridCol w:w="2234"/>
        <w:gridCol w:w="2272"/>
      </w:tblGrid>
      <w:tr w:rsidR="004609D7" w:rsidRPr="003F79A5" w:rsidTr="00B74079">
        <w:trPr>
          <w:trHeight w:val="420"/>
        </w:trPr>
        <w:tc>
          <w:tcPr>
            <w:tcW w:w="5000" w:type="pct"/>
            <w:gridSpan w:val="3"/>
            <w:tcBorders>
              <w:top w:val="single" w:sz="4" w:space="0" w:color="auto"/>
              <w:left w:val="single" w:sz="4" w:space="0" w:color="auto"/>
              <w:bottom w:val="single" w:sz="4" w:space="0" w:color="auto"/>
              <w:right w:val="single" w:sz="4" w:space="0" w:color="auto"/>
            </w:tcBorders>
            <w:shd w:val="clear" w:color="000000" w:fill="595959"/>
            <w:vAlign w:val="center"/>
          </w:tcPr>
          <w:p w:rsidR="004609D7" w:rsidRPr="003F79A5" w:rsidRDefault="004609D7" w:rsidP="00B74079">
            <w:pPr>
              <w:spacing w:line="360" w:lineRule="auto"/>
              <w:jc w:val="center"/>
              <w:rPr>
                <w:color w:val="F2F2F2"/>
              </w:rPr>
            </w:pPr>
            <w:r w:rsidRPr="003F79A5">
              <w:rPr>
                <w:color w:val="F2F2F2"/>
              </w:rPr>
              <w:t>Πίνακας 1</w:t>
            </w:r>
          </w:p>
        </w:tc>
      </w:tr>
      <w:tr w:rsidR="004609D7" w:rsidRPr="003F79A5" w:rsidTr="00B74079">
        <w:trPr>
          <w:trHeight w:val="420"/>
        </w:trPr>
        <w:tc>
          <w:tcPr>
            <w:tcW w:w="2356" w:type="pct"/>
            <w:vMerge w:val="restart"/>
            <w:tcBorders>
              <w:top w:val="single" w:sz="4" w:space="0" w:color="auto"/>
              <w:left w:val="single" w:sz="4" w:space="0" w:color="auto"/>
              <w:bottom w:val="single" w:sz="4" w:space="0" w:color="auto"/>
              <w:right w:val="single" w:sz="4" w:space="0" w:color="auto"/>
            </w:tcBorders>
            <w:shd w:val="clear" w:color="000000" w:fill="595959"/>
            <w:vAlign w:val="center"/>
            <w:hideMark/>
          </w:tcPr>
          <w:p w:rsidR="004609D7" w:rsidRPr="003F79A5" w:rsidRDefault="004609D7" w:rsidP="00B74079">
            <w:pPr>
              <w:spacing w:line="360" w:lineRule="auto"/>
              <w:jc w:val="center"/>
              <w:rPr>
                <w:color w:val="F2F2F2"/>
              </w:rPr>
            </w:pPr>
            <w:r w:rsidRPr="003F79A5">
              <w:rPr>
                <w:color w:val="F2F2F2"/>
              </w:rPr>
              <w:t>Μηχάνημα</w:t>
            </w:r>
          </w:p>
        </w:tc>
        <w:tc>
          <w:tcPr>
            <w:tcW w:w="2644" w:type="pct"/>
            <w:gridSpan w:val="2"/>
            <w:tcBorders>
              <w:top w:val="single" w:sz="4" w:space="0" w:color="auto"/>
              <w:left w:val="nil"/>
              <w:bottom w:val="single" w:sz="4" w:space="0" w:color="auto"/>
              <w:right w:val="single" w:sz="4" w:space="0" w:color="auto"/>
            </w:tcBorders>
            <w:shd w:val="clear" w:color="000000" w:fill="595959"/>
            <w:vAlign w:val="center"/>
            <w:hideMark/>
          </w:tcPr>
          <w:p w:rsidR="004609D7" w:rsidRPr="003F79A5" w:rsidRDefault="004609D7" w:rsidP="00B74079">
            <w:pPr>
              <w:spacing w:line="360" w:lineRule="auto"/>
              <w:jc w:val="center"/>
              <w:rPr>
                <w:color w:val="F2F2F2"/>
              </w:rPr>
            </w:pPr>
            <w:r w:rsidRPr="003F79A5">
              <w:rPr>
                <w:color w:val="F2F2F2"/>
              </w:rPr>
              <w:t>Αριθμός Α4 Σελίδων.</w:t>
            </w:r>
          </w:p>
        </w:tc>
      </w:tr>
      <w:tr w:rsidR="004609D7" w:rsidRPr="003F79A5" w:rsidTr="00B74079">
        <w:trPr>
          <w:trHeight w:val="420"/>
        </w:trPr>
        <w:tc>
          <w:tcPr>
            <w:tcW w:w="2356" w:type="pct"/>
            <w:vMerge/>
            <w:tcBorders>
              <w:top w:val="single" w:sz="4" w:space="0" w:color="auto"/>
              <w:left w:val="single" w:sz="4" w:space="0" w:color="auto"/>
              <w:bottom w:val="single" w:sz="4" w:space="0" w:color="auto"/>
              <w:right w:val="single" w:sz="4" w:space="0" w:color="auto"/>
            </w:tcBorders>
            <w:vAlign w:val="center"/>
            <w:hideMark/>
          </w:tcPr>
          <w:p w:rsidR="004609D7" w:rsidRPr="003F79A5" w:rsidRDefault="004609D7" w:rsidP="00B74079">
            <w:pPr>
              <w:spacing w:line="360" w:lineRule="auto"/>
              <w:rPr>
                <w:color w:val="F2F2F2"/>
              </w:rPr>
            </w:pPr>
          </w:p>
        </w:tc>
        <w:tc>
          <w:tcPr>
            <w:tcW w:w="1311" w:type="pct"/>
            <w:tcBorders>
              <w:top w:val="nil"/>
              <w:left w:val="nil"/>
              <w:bottom w:val="single" w:sz="4" w:space="0" w:color="auto"/>
              <w:right w:val="single" w:sz="4" w:space="0" w:color="auto"/>
            </w:tcBorders>
            <w:shd w:val="clear" w:color="000000" w:fill="595959"/>
            <w:vAlign w:val="center"/>
            <w:hideMark/>
          </w:tcPr>
          <w:p w:rsidR="004609D7" w:rsidRPr="003F79A5" w:rsidRDefault="004609D7" w:rsidP="00B74079">
            <w:pPr>
              <w:spacing w:line="360" w:lineRule="auto"/>
              <w:jc w:val="center"/>
              <w:rPr>
                <w:color w:val="F2F2F2"/>
              </w:rPr>
            </w:pPr>
            <w:r w:rsidRPr="003F79A5">
              <w:rPr>
                <w:color w:val="F2F2F2"/>
              </w:rPr>
              <w:t>ΜΟΝΟ</w:t>
            </w:r>
          </w:p>
        </w:tc>
        <w:tc>
          <w:tcPr>
            <w:tcW w:w="1333" w:type="pct"/>
            <w:tcBorders>
              <w:top w:val="nil"/>
              <w:left w:val="nil"/>
              <w:bottom w:val="single" w:sz="4" w:space="0" w:color="auto"/>
              <w:right w:val="single" w:sz="4" w:space="0" w:color="auto"/>
            </w:tcBorders>
            <w:shd w:val="clear" w:color="000000" w:fill="595959"/>
            <w:vAlign w:val="center"/>
            <w:hideMark/>
          </w:tcPr>
          <w:p w:rsidR="004609D7" w:rsidRPr="003F79A5" w:rsidRDefault="004609D7" w:rsidP="00B74079">
            <w:pPr>
              <w:spacing w:line="360" w:lineRule="auto"/>
              <w:jc w:val="center"/>
              <w:rPr>
                <w:color w:val="F2F2F2"/>
              </w:rPr>
            </w:pPr>
            <w:r w:rsidRPr="003F79A5">
              <w:rPr>
                <w:color w:val="F2F2F2"/>
              </w:rPr>
              <w:t>COLOR</w:t>
            </w:r>
          </w:p>
        </w:tc>
      </w:tr>
      <w:tr w:rsidR="004609D7" w:rsidRPr="003F79A5"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hideMark/>
          </w:tcPr>
          <w:p w:rsidR="004609D7" w:rsidRPr="003F79A5" w:rsidRDefault="004609D7" w:rsidP="00B74079">
            <w:pPr>
              <w:spacing w:line="360" w:lineRule="auto"/>
            </w:pPr>
            <w:r w:rsidRPr="003F79A5">
              <w:t>HP</w:t>
            </w:r>
            <w:r w:rsidRPr="003F79A5">
              <w:rPr>
                <w:lang w:val="en-US"/>
              </w:rPr>
              <w:t xml:space="preserve"> </w:t>
            </w:r>
            <w:r w:rsidRPr="003F79A5">
              <w:t>4700</w:t>
            </w:r>
          </w:p>
        </w:tc>
        <w:tc>
          <w:tcPr>
            <w:tcW w:w="1311" w:type="pct"/>
            <w:tcBorders>
              <w:top w:val="nil"/>
              <w:left w:val="nil"/>
              <w:bottom w:val="single" w:sz="4" w:space="0" w:color="auto"/>
              <w:right w:val="single" w:sz="4" w:space="0" w:color="auto"/>
            </w:tcBorders>
            <w:shd w:val="clear" w:color="000000" w:fill="C5D9F1"/>
            <w:noWrap/>
            <w:vAlign w:val="bottom"/>
            <w:hideMark/>
          </w:tcPr>
          <w:p w:rsidR="004609D7" w:rsidRPr="003F79A5" w:rsidRDefault="004609D7" w:rsidP="00B74079">
            <w:pPr>
              <w:spacing w:line="360" w:lineRule="auto"/>
              <w:jc w:val="center"/>
            </w:pPr>
            <w:r>
              <w:t>8</w:t>
            </w:r>
            <w:r w:rsidRPr="003F79A5">
              <w:t>.000</w:t>
            </w:r>
          </w:p>
        </w:tc>
        <w:tc>
          <w:tcPr>
            <w:tcW w:w="1333" w:type="pct"/>
            <w:tcBorders>
              <w:top w:val="nil"/>
              <w:left w:val="nil"/>
              <w:bottom w:val="single" w:sz="4" w:space="0" w:color="auto"/>
              <w:right w:val="single" w:sz="4" w:space="0" w:color="auto"/>
            </w:tcBorders>
            <w:shd w:val="clear" w:color="000000" w:fill="C5D9F1"/>
            <w:noWrap/>
            <w:vAlign w:val="bottom"/>
            <w:hideMark/>
          </w:tcPr>
          <w:p w:rsidR="004609D7" w:rsidRPr="003F79A5" w:rsidRDefault="004609D7" w:rsidP="00B74079">
            <w:pPr>
              <w:spacing w:line="360" w:lineRule="auto"/>
              <w:jc w:val="center"/>
            </w:pPr>
            <w:r>
              <w:t>30</w:t>
            </w:r>
            <w:r w:rsidRPr="003F79A5">
              <w:t>.000</w:t>
            </w:r>
          </w:p>
        </w:tc>
      </w:tr>
      <w:tr w:rsidR="004609D7" w:rsidRPr="003F79A5"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hideMark/>
          </w:tcPr>
          <w:p w:rsidR="004609D7" w:rsidRPr="003F79A5" w:rsidRDefault="004609D7" w:rsidP="00B74079">
            <w:pPr>
              <w:spacing w:line="360" w:lineRule="auto"/>
            </w:pPr>
            <w:r w:rsidRPr="003F79A5">
              <w:t>HP</w:t>
            </w:r>
            <w:r w:rsidRPr="003F79A5">
              <w:rPr>
                <w:lang w:val="en-US"/>
              </w:rPr>
              <w:t xml:space="preserve"> </w:t>
            </w:r>
            <w:r w:rsidRPr="003F79A5">
              <w:t>4025</w:t>
            </w:r>
          </w:p>
        </w:tc>
        <w:tc>
          <w:tcPr>
            <w:tcW w:w="1311" w:type="pct"/>
            <w:tcBorders>
              <w:top w:val="nil"/>
              <w:left w:val="nil"/>
              <w:bottom w:val="single" w:sz="4" w:space="0" w:color="auto"/>
              <w:right w:val="single" w:sz="4" w:space="0" w:color="auto"/>
            </w:tcBorders>
            <w:shd w:val="clear" w:color="000000" w:fill="C5D9F1"/>
            <w:noWrap/>
            <w:vAlign w:val="bottom"/>
            <w:hideMark/>
          </w:tcPr>
          <w:p w:rsidR="004609D7" w:rsidRPr="003F79A5" w:rsidRDefault="004609D7" w:rsidP="00B74079">
            <w:pPr>
              <w:spacing w:line="360" w:lineRule="auto"/>
              <w:jc w:val="center"/>
            </w:pPr>
            <w:r w:rsidRPr="003F79A5">
              <w:t>8.000</w:t>
            </w:r>
          </w:p>
        </w:tc>
        <w:tc>
          <w:tcPr>
            <w:tcW w:w="1333" w:type="pct"/>
            <w:tcBorders>
              <w:top w:val="nil"/>
              <w:left w:val="nil"/>
              <w:bottom w:val="single" w:sz="4" w:space="0" w:color="auto"/>
              <w:right w:val="single" w:sz="4" w:space="0" w:color="auto"/>
            </w:tcBorders>
            <w:shd w:val="clear" w:color="000000" w:fill="C5D9F1"/>
            <w:noWrap/>
            <w:vAlign w:val="bottom"/>
            <w:hideMark/>
          </w:tcPr>
          <w:p w:rsidR="004609D7" w:rsidRPr="003F79A5" w:rsidRDefault="004609D7" w:rsidP="00B74079">
            <w:pPr>
              <w:spacing w:line="360" w:lineRule="auto"/>
              <w:jc w:val="center"/>
            </w:pPr>
            <w:r>
              <w:t>15</w:t>
            </w:r>
            <w:r w:rsidRPr="003F79A5">
              <w:t>.000</w:t>
            </w:r>
          </w:p>
        </w:tc>
      </w:tr>
      <w:tr w:rsidR="004609D7" w:rsidRPr="003F79A5"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hideMark/>
          </w:tcPr>
          <w:p w:rsidR="004609D7" w:rsidRPr="003F79A5" w:rsidRDefault="004609D7" w:rsidP="00B74079">
            <w:pPr>
              <w:spacing w:line="360" w:lineRule="auto"/>
            </w:pPr>
            <w:r w:rsidRPr="003F79A5">
              <w:t>HP</w:t>
            </w:r>
            <w:r w:rsidRPr="003F79A5">
              <w:rPr>
                <w:lang w:val="en-US"/>
              </w:rPr>
              <w:t xml:space="preserve"> </w:t>
            </w:r>
            <w:r w:rsidRPr="003F79A5">
              <w:t>4015</w:t>
            </w:r>
          </w:p>
        </w:tc>
        <w:tc>
          <w:tcPr>
            <w:tcW w:w="1311" w:type="pct"/>
            <w:tcBorders>
              <w:top w:val="nil"/>
              <w:left w:val="nil"/>
              <w:bottom w:val="single" w:sz="4" w:space="0" w:color="auto"/>
              <w:right w:val="single" w:sz="4" w:space="0" w:color="auto"/>
            </w:tcBorders>
            <w:shd w:val="clear" w:color="000000" w:fill="C5D9F1"/>
            <w:noWrap/>
            <w:vAlign w:val="bottom"/>
            <w:hideMark/>
          </w:tcPr>
          <w:p w:rsidR="004609D7" w:rsidRPr="003F79A5" w:rsidRDefault="004609D7" w:rsidP="00B74079">
            <w:pPr>
              <w:spacing w:line="360" w:lineRule="auto"/>
              <w:jc w:val="center"/>
            </w:pPr>
            <w:r w:rsidRPr="003F79A5">
              <w:t>4</w:t>
            </w:r>
            <w:r>
              <w:t>5</w:t>
            </w:r>
            <w:r w:rsidRPr="003F79A5">
              <w:t>.000</w:t>
            </w:r>
          </w:p>
        </w:tc>
        <w:tc>
          <w:tcPr>
            <w:tcW w:w="1333" w:type="pct"/>
            <w:tcBorders>
              <w:top w:val="nil"/>
              <w:left w:val="nil"/>
              <w:bottom w:val="single" w:sz="4" w:space="0" w:color="auto"/>
              <w:right w:val="single" w:sz="4" w:space="0" w:color="auto"/>
            </w:tcBorders>
            <w:shd w:val="clear" w:color="000000" w:fill="C5D9F1"/>
            <w:noWrap/>
            <w:vAlign w:val="bottom"/>
            <w:hideMark/>
          </w:tcPr>
          <w:p w:rsidR="004609D7" w:rsidRPr="003F79A5" w:rsidRDefault="004609D7" w:rsidP="00B74079">
            <w:pPr>
              <w:spacing w:line="360" w:lineRule="auto"/>
              <w:jc w:val="center"/>
            </w:pPr>
            <w:r>
              <w:t>0</w:t>
            </w:r>
          </w:p>
        </w:tc>
      </w:tr>
      <w:tr w:rsidR="004609D7" w:rsidRPr="003F79A5"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hideMark/>
          </w:tcPr>
          <w:p w:rsidR="004609D7" w:rsidRPr="003F79A5" w:rsidRDefault="004609D7" w:rsidP="00B74079">
            <w:pPr>
              <w:spacing w:line="360" w:lineRule="auto"/>
            </w:pPr>
            <w:r w:rsidRPr="003F79A5">
              <w:t>HP</w:t>
            </w:r>
            <w:r w:rsidRPr="003F79A5">
              <w:rPr>
                <w:lang w:val="en-US"/>
              </w:rPr>
              <w:t xml:space="preserve"> </w:t>
            </w:r>
            <w:r w:rsidRPr="003F79A5">
              <w:t>4015</w:t>
            </w:r>
          </w:p>
        </w:tc>
        <w:tc>
          <w:tcPr>
            <w:tcW w:w="1311" w:type="pct"/>
            <w:tcBorders>
              <w:top w:val="nil"/>
              <w:left w:val="nil"/>
              <w:bottom w:val="single" w:sz="4" w:space="0" w:color="auto"/>
              <w:right w:val="single" w:sz="4" w:space="0" w:color="auto"/>
            </w:tcBorders>
            <w:shd w:val="clear" w:color="000000" w:fill="C5D9F1"/>
            <w:noWrap/>
            <w:vAlign w:val="bottom"/>
            <w:hideMark/>
          </w:tcPr>
          <w:p w:rsidR="004609D7" w:rsidRPr="003F79A5" w:rsidRDefault="004609D7" w:rsidP="00B74079">
            <w:pPr>
              <w:spacing w:line="360" w:lineRule="auto"/>
              <w:jc w:val="center"/>
            </w:pPr>
            <w:r w:rsidRPr="003F79A5">
              <w:t>40.000</w:t>
            </w:r>
          </w:p>
        </w:tc>
        <w:tc>
          <w:tcPr>
            <w:tcW w:w="1333" w:type="pct"/>
            <w:tcBorders>
              <w:top w:val="nil"/>
              <w:left w:val="nil"/>
              <w:bottom w:val="single" w:sz="4" w:space="0" w:color="auto"/>
              <w:right w:val="single" w:sz="4" w:space="0" w:color="auto"/>
            </w:tcBorders>
            <w:shd w:val="clear" w:color="000000" w:fill="C5D9F1"/>
            <w:noWrap/>
            <w:vAlign w:val="bottom"/>
            <w:hideMark/>
          </w:tcPr>
          <w:p w:rsidR="004609D7" w:rsidRPr="003F79A5" w:rsidRDefault="004609D7" w:rsidP="00B74079">
            <w:pPr>
              <w:spacing w:line="360" w:lineRule="auto"/>
              <w:jc w:val="center"/>
            </w:pPr>
            <w:r>
              <w:t>0</w:t>
            </w:r>
          </w:p>
        </w:tc>
      </w:tr>
      <w:tr w:rsidR="004609D7" w:rsidRPr="003F79A5"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tcPr>
          <w:p w:rsidR="004609D7" w:rsidRPr="003F79A5" w:rsidRDefault="004609D7" w:rsidP="00B74079">
            <w:pPr>
              <w:spacing w:line="360" w:lineRule="auto"/>
            </w:pPr>
            <w:r w:rsidRPr="003F79A5">
              <w:t>HP</w:t>
            </w:r>
            <w:r w:rsidRPr="003F79A5">
              <w:rPr>
                <w:lang w:val="en-US"/>
              </w:rPr>
              <w:t xml:space="preserve"> </w:t>
            </w:r>
            <w:r w:rsidRPr="003F79A5">
              <w:t>4015</w:t>
            </w:r>
          </w:p>
        </w:tc>
        <w:tc>
          <w:tcPr>
            <w:tcW w:w="1311" w:type="pct"/>
            <w:tcBorders>
              <w:top w:val="nil"/>
              <w:left w:val="nil"/>
              <w:bottom w:val="single" w:sz="4" w:space="0" w:color="auto"/>
              <w:right w:val="single" w:sz="4" w:space="0" w:color="auto"/>
            </w:tcBorders>
            <w:shd w:val="clear" w:color="000000" w:fill="C5D9F1"/>
            <w:noWrap/>
            <w:vAlign w:val="bottom"/>
          </w:tcPr>
          <w:p w:rsidR="004609D7" w:rsidRPr="003F79A5" w:rsidRDefault="004609D7" w:rsidP="00B74079">
            <w:pPr>
              <w:spacing w:line="360" w:lineRule="auto"/>
              <w:jc w:val="center"/>
            </w:pPr>
            <w:r w:rsidRPr="003F79A5">
              <w:t>16.000</w:t>
            </w:r>
          </w:p>
        </w:tc>
        <w:tc>
          <w:tcPr>
            <w:tcW w:w="1333" w:type="pct"/>
            <w:tcBorders>
              <w:top w:val="nil"/>
              <w:left w:val="nil"/>
              <w:bottom w:val="single" w:sz="4" w:space="0" w:color="auto"/>
              <w:right w:val="single" w:sz="4" w:space="0" w:color="auto"/>
            </w:tcBorders>
            <w:shd w:val="clear" w:color="000000" w:fill="C5D9F1"/>
            <w:noWrap/>
            <w:vAlign w:val="bottom"/>
          </w:tcPr>
          <w:p w:rsidR="004609D7" w:rsidRPr="003F79A5" w:rsidRDefault="004609D7" w:rsidP="00B74079">
            <w:pPr>
              <w:spacing w:line="360" w:lineRule="auto"/>
              <w:jc w:val="center"/>
            </w:pPr>
            <w:r>
              <w:t>0</w:t>
            </w:r>
          </w:p>
        </w:tc>
      </w:tr>
      <w:tr w:rsidR="004609D7" w:rsidRPr="003F79A5"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hideMark/>
          </w:tcPr>
          <w:p w:rsidR="004609D7" w:rsidRPr="003F79A5" w:rsidRDefault="004609D7" w:rsidP="00B74079">
            <w:pPr>
              <w:spacing w:line="360" w:lineRule="auto"/>
            </w:pPr>
            <w:r w:rsidRPr="003F79A5">
              <w:t>HP</w:t>
            </w:r>
            <w:r w:rsidRPr="003F79A5">
              <w:rPr>
                <w:lang w:val="en-US"/>
              </w:rPr>
              <w:t xml:space="preserve"> </w:t>
            </w:r>
            <w:r w:rsidRPr="003F79A5">
              <w:t>4515</w:t>
            </w:r>
          </w:p>
        </w:tc>
        <w:tc>
          <w:tcPr>
            <w:tcW w:w="1311" w:type="pct"/>
            <w:tcBorders>
              <w:top w:val="nil"/>
              <w:left w:val="nil"/>
              <w:bottom w:val="single" w:sz="4" w:space="0" w:color="auto"/>
              <w:right w:val="single" w:sz="4" w:space="0" w:color="auto"/>
            </w:tcBorders>
            <w:shd w:val="clear" w:color="000000" w:fill="C5D9F1"/>
            <w:noWrap/>
            <w:vAlign w:val="bottom"/>
            <w:hideMark/>
          </w:tcPr>
          <w:p w:rsidR="004609D7" w:rsidRPr="003F79A5" w:rsidRDefault="004609D7" w:rsidP="00B74079">
            <w:pPr>
              <w:spacing w:line="360" w:lineRule="auto"/>
              <w:jc w:val="center"/>
            </w:pPr>
            <w:r>
              <w:t>7</w:t>
            </w:r>
            <w:r w:rsidRPr="003F79A5">
              <w:t>.000</w:t>
            </w:r>
          </w:p>
        </w:tc>
        <w:tc>
          <w:tcPr>
            <w:tcW w:w="1333" w:type="pct"/>
            <w:tcBorders>
              <w:top w:val="nil"/>
              <w:left w:val="nil"/>
              <w:bottom w:val="single" w:sz="4" w:space="0" w:color="auto"/>
              <w:right w:val="single" w:sz="4" w:space="0" w:color="auto"/>
            </w:tcBorders>
            <w:shd w:val="clear" w:color="000000" w:fill="C5D9F1"/>
            <w:noWrap/>
            <w:vAlign w:val="bottom"/>
            <w:hideMark/>
          </w:tcPr>
          <w:p w:rsidR="004609D7" w:rsidRPr="003F79A5" w:rsidRDefault="004609D7" w:rsidP="00B74079">
            <w:pPr>
              <w:spacing w:line="360" w:lineRule="auto"/>
              <w:jc w:val="center"/>
            </w:pPr>
            <w:r w:rsidRPr="003F79A5">
              <w:t>0</w:t>
            </w:r>
          </w:p>
        </w:tc>
      </w:tr>
      <w:tr w:rsidR="004609D7" w:rsidRPr="003F79A5"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hideMark/>
          </w:tcPr>
          <w:p w:rsidR="004609D7" w:rsidRPr="003F79A5" w:rsidRDefault="004609D7" w:rsidP="00B74079">
            <w:pPr>
              <w:spacing w:line="360" w:lineRule="auto"/>
            </w:pPr>
            <w:r w:rsidRPr="003F79A5">
              <w:t>HP</w:t>
            </w:r>
            <w:r w:rsidRPr="003F79A5">
              <w:rPr>
                <w:lang w:val="en-US"/>
              </w:rPr>
              <w:t xml:space="preserve"> </w:t>
            </w:r>
            <w:r w:rsidRPr="003F79A5">
              <w:t>4350</w:t>
            </w:r>
          </w:p>
        </w:tc>
        <w:tc>
          <w:tcPr>
            <w:tcW w:w="1311" w:type="pct"/>
            <w:tcBorders>
              <w:top w:val="nil"/>
              <w:left w:val="nil"/>
              <w:bottom w:val="single" w:sz="4" w:space="0" w:color="auto"/>
              <w:right w:val="single" w:sz="4" w:space="0" w:color="auto"/>
            </w:tcBorders>
            <w:shd w:val="clear" w:color="000000" w:fill="C5D9F1"/>
            <w:noWrap/>
            <w:vAlign w:val="bottom"/>
            <w:hideMark/>
          </w:tcPr>
          <w:p w:rsidR="004609D7" w:rsidRPr="003F79A5" w:rsidRDefault="004609D7" w:rsidP="00B74079">
            <w:pPr>
              <w:spacing w:line="360" w:lineRule="auto"/>
              <w:jc w:val="center"/>
            </w:pPr>
            <w:r w:rsidRPr="003F79A5">
              <w:t>2.000</w:t>
            </w:r>
          </w:p>
        </w:tc>
        <w:tc>
          <w:tcPr>
            <w:tcW w:w="1333" w:type="pct"/>
            <w:tcBorders>
              <w:top w:val="nil"/>
              <w:left w:val="nil"/>
              <w:bottom w:val="single" w:sz="4" w:space="0" w:color="auto"/>
              <w:right w:val="single" w:sz="4" w:space="0" w:color="auto"/>
            </w:tcBorders>
            <w:shd w:val="clear" w:color="000000" w:fill="C5D9F1"/>
            <w:noWrap/>
            <w:vAlign w:val="bottom"/>
            <w:hideMark/>
          </w:tcPr>
          <w:p w:rsidR="004609D7" w:rsidRPr="003F79A5" w:rsidRDefault="004609D7" w:rsidP="00B74079">
            <w:pPr>
              <w:spacing w:line="360" w:lineRule="auto"/>
              <w:jc w:val="center"/>
            </w:pPr>
            <w:r>
              <w:t>0</w:t>
            </w:r>
          </w:p>
        </w:tc>
      </w:tr>
      <w:tr w:rsidR="004609D7" w:rsidRPr="003F79A5"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hideMark/>
          </w:tcPr>
          <w:p w:rsidR="004609D7" w:rsidRPr="003F79A5" w:rsidRDefault="004609D7" w:rsidP="00B74079">
            <w:pPr>
              <w:spacing w:line="360" w:lineRule="auto"/>
            </w:pPr>
            <w:r w:rsidRPr="003F79A5">
              <w:t>HP</w:t>
            </w:r>
            <w:r w:rsidRPr="003F79A5">
              <w:rPr>
                <w:lang w:val="en-US"/>
              </w:rPr>
              <w:t xml:space="preserve"> </w:t>
            </w:r>
            <w:r w:rsidRPr="003F79A5">
              <w:t>4350</w:t>
            </w:r>
          </w:p>
        </w:tc>
        <w:tc>
          <w:tcPr>
            <w:tcW w:w="1311" w:type="pct"/>
            <w:tcBorders>
              <w:top w:val="nil"/>
              <w:left w:val="nil"/>
              <w:bottom w:val="single" w:sz="4" w:space="0" w:color="auto"/>
              <w:right w:val="single" w:sz="4" w:space="0" w:color="auto"/>
            </w:tcBorders>
            <w:shd w:val="clear" w:color="000000" w:fill="C5D9F1"/>
            <w:noWrap/>
            <w:vAlign w:val="bottom"/>
            <w:hideMark/>
          </w:tcPr>
          <w:p w:rsidR="004609D7" w:rsidRPr="003F79A5" w:rsidRDefault="004609D7" w:rsidP="00B74079">
            <w:pPr>
              <w:spacing w:line="360" w:lineRule="auto"/>
              <w:jc w:val="center"/>
            </w:pPr>
            <w:r w:rsidRPr="003F79A5">
              <w:t>15.000</w:t>
            </w:r>
          </w:p>
        </w:tc>
        <w:tc>
          <w:tcPr>
            <w:tcW w:w="1333" w:type="pct"/>
            <w:tcBorders>
              <w:top w:val="nil"/>
              <w:left w:val="nil"/>
              <w:bottom w:val="single" w:sz="4" w:space="0" w:color="auto"/>
              <w:right w:val="single" w:sz="4" w:space="0" w:color="auto"/>
            </w:tcBorders>
            <w:shd w:val="clear" w:color="000000" w:fill="C5D9F1"/>
            <w:noWrap/>
            <w:vAlign w:val="bottom"/>
            <w:hideMark/>
          </w:tcPr>
          <w:p w:rsidR="004609D7" w:rsidRPr="003F79A5" w:rsidRDefault="004609D7" w:rsidP="00B74079">
            <w:pPr>
              <w:spacing w:line="360" w:lineRule="auto"/>
              <w:jc w:val="center"/>
            </w:pPr>
            <w:r>
              <w:t>0</w:t>
            </w:r>
          </w:p>
        </w:tc>
      </w:tr>
      <w:tr w:rsidR="004609D7" w:rsidRPr="003F79A5"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hideMark/>
          </w:tcPr>
          <w:p w:rsidR="004609D7" w:rsidRPr="003F79A5" w:rsidRDefault="004609D7" w:rsidP="00B74079">
            <w:pPr>
              <w:spacing w:line="360" w:lineRule="auto"/>
            </w:pPr>
            <w:r w:rsidRPr="003F79A5">
              <w:rPr>
                <w:lang w:val="en-US"/>
              </w:rPr>
              <w:lastRenderedPageBreak/>
              <w:t>XEROX</w:t>
            </w:r>
            <w:r w:rsidRPr="003F79A5">
              <w:t xml:space="preserve"> </w:t>
            </w:r>
            <w:proofErr w:type="spellStart"/>
            <w:r w:rsidRPr="003F79A5">
              <w:t>workcenter</w:t>
            </w:r>
            <w:proofErr w:type="spellEnd"/>
            <w:r w:rsidRPr="003F79A5">
              <w:t xml:space="preserve"> 006r01046</w:t>
            </w:r>
          </w:p>
        </w:tc>
        <w:tc>
          <w:tcPr>
            <w:tcW w:w="1311" w:type="pct"/>
            <w:tcBorders>
              <w:top w:val="nil"/>
              <w:left w:val="nil"/>
              <w:bottom w:val="single" w:sz="4" w:space="0" w:color="auto"/>
              <w:right w:val="single" w:sz="4" w:space="0" w:color="auto"/>
            </w:tcBorders>
            <w:shd w:val="clear" w:color="000000" w:fill="C5D9F1"/>
            <w:noWrap/>
            <w:vAlign w:val="bottom"/>
            <w:hideMark/>
          </w:tcPr>
          <w:p w:rsidR="004609D7" w:rsidRPr="003F79A5" w:rsidRDefault="004609D7" w:rsidP="00B74079">
            <w:pPr>
              <w:spacing w:line="360" w:lineRule="auto"/>
              <w:jc w:val="center"/>
            </w:pPr>
            <w:r w:rsidRPr="003F79A5">
              <w:t>20.000</w:t>
            </w:r>
          </w:p>
        </w:tc>
        <w:tc>
          <w:tcPr>
            <w:tcW w:w="1333" w:type="pct"/>
            <w:tcBorders>
              <w:top w:val="nil"/>
              <w:left w:val="nil"/>
              <w:bottom w:val="single" w:sz="4" w:space="0" w:color="auto"/>
              <w:right w:val="single" w:sz="4" w:space="0" w:color="auto"/>
            </w:tcBorders>
            <w:shd w:val="clear" w:color="000000" w:fill="C5D9F1"/>
            <w:noWrap/>
            <w:vAlign w:val="bottom"/>
            <w:hideMark/>
          </w:tcPr>
          <w:p w:rsidR="004609D7" w:rsidRPr="003F79A5" w:rsidRDefault="004609D7" w:rsidP="00B74079">
            <w:pPr>
              <w:spacing w:line="360" w:lineRule="auto"/>
              <w:jc w:val="center"/>
            </w:pPr>
            <w:r>
              <w:t>0</w:t>
            </w:r>
          </w:p>
        </w:tc>
      </w:tr>
      <w:tr w:rsidR="004609D7" w:rsidRPr="003F79A5"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hideMark/>
          </w:tcPr>
          <w:p w:rsidR="004609D7" w:rsidRPr="003F79A5" w:rsidRDefault="004609D7" w:rsidP="00B74079">
            <w:pPr>
              <w:spacing w:line="360" w:lineRule="auto"/>
            </w:pPr>
            <w:r w:rsidRPr="003F79A5">
              <w:t>LEXMARK x792</w:t>
            </w:r>
          </w:p>
        </w:tc>
        <w:tc>
          <w:tcPr>
            <w:tcW w:w="1311" w:type="pct"/>
            <w:tcBorders>
              <w:top w:val="nil"/>
              <w:left w:val="nil"/>
              <w:bottom w:val="single" w:sz="4" w:space="0" w:color="auto"/>
              <w:right w:val="single" w:sz="4" w:space="0" w:color="auto"/>
            </w:tcBorders>
            <w:shd w:val="clear" w:color="000000" w:fill="C5D9F1"/>
            <w:noWrap/>
            <w:vAlign w:val="bottom"/>
            <w:hideMark/>
          </w:tcPr>
          <w:p w:rsidR="004609D7" w:rsidRPr="003F79A5" w:rsidRDefault="004609D7" w:rsidP="00B74079">
            <w:pPr>
              <w:spacing w:line="360" w:lineRule="auto"/>
              <w:jc w:val="center"/>
            </w:pPr>
            <w:r>
              <w:t>2000</w:t>
            </w:r>
          </w:p>
        </w:tc>
        <w:tc>
          <w:tcPr>
            <w:tcW w:w="1333" w:type="pct"/>
            <w:tcBorders>
              <w:top w:val="nil"/>
              <w:left w:val="nil"/>
              <w:bottom w:val="single" w:sz="4" w:space="0" w:color="auto"/>
              <w:right w:val="single" w:sz="4" w:space="0" w:color="auto"/>
            </w:tcBorders>
            <w:shd w:val="clear" w:color="000000" w:fill="C5D9F1"/>
            <w:noWrap/>
            <w:vAlign w:val="bottom"/>
            <w:hideMark/>
          </w:tcPr>
          <w:p w:rsidR="004609D7" w:rsidRPr="003F79A5" w:rsidRDefault="004609D7" w:rsidP="00B74079">
            <w:pPr>
              <w:spacing w:line="360" w:lineRule="auto"/>
              <w:jc w:val="center"/>
            </w:pPr>
            <w:r>
              <w:t>6</w:t>
            </w:r>
            <w:r w:rsidRPr="003F79A5">
              <w:t>.000</w:t>
            </w:r>
          </w:p>
        </w:tc>
      </w:tr>
      <w:tr w:rsidR="004609D7" w:rsidRPr="003F79A5"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hideMark/>
          </w:tcPr>
          <w:p w:rsidR="004609D7" w:rsidRPr="003F79A5" w:rsidRDefault="004609D7" w:rsidP="00B74079">
            <w:pPr>
              <w:spacing w:line="360" w:lineRule="auto"/>
            </w:pPr>
            <w:r w:rsidRPr="003F79A5">
              <w:t>KYOCERA km2550</w:t>
            </w:r>
          </w:p>
        </w:tc>
        <w:tc>
          <w:tcPr>
            <w:tcW w:w="1311" w:type="pct"/>
            <w:tcBorders>
              <w:top w:val="nil"/>
              <w:left w:val="nil"/>
              <w:bottom w:val="single" w:sz="4" w:space="0" w:color="auto"/>
              <w:right w:val="single" w:sz="4" w:space="0" w:color="auto"/>
            </w:tcBorders>
            <w:shd w:val="clear" w:color="000000" w:fill="C5D9F1"/>
            <w:noWrap/>
            <w:vAlign w:val="bottom"/>
            <w:hideMark/>
          </w:tcPr>
          <w:p w:rsidR="004609D7" w:rsidRPr="003F79A5" w:rsidRDefault="004609D7" w:rsidP="00B74079">
            <w:pPr>
              <w:spacing w:line="360" w:lineRule="auto"/>
              <w:jc w:val="center"/>
            </w:pPr>
            <w:r w:rsidRPr="003F79A5">
              <w:t>6.000</w:t>
            </w:r>
          </w:p>
        </w:tc>
        <w:tc>
          <w:tcPr>
            <w:tcW w:w="1333" w:type="pct"/>
            <w:tcBorders>
              <w:top w:val="nil"/>
              <w:left w:val="nil"/>
              <w:bottom w:val="single" w:sz="4" w:space="0" w:color="auto"/>
              <w:right w:val="single" w:sz="4" w:space="0" w:color="auto"/>
            </w:tcBorders>
            <w:shd w:val="clear" w:color="000000" w:fill="C5D9F1"/>
            <w:noWrap/>
            <w:vAlign w:val="bottom"/>
            <w:hideMark/>
          </w:tcPr>
          <w:p w:rsidR="004609D7" w:rsidRPr="003F79A5" w:rsidRDefault="004609D7" w:rsidP="00B74079">
            <w:pPr>
              <w:spacing w:line="360" w:lineRule="auto"/>
              <w:jc w:val="center"/>
            </w:pPr>
            <w:r>
              <w:t>0</w:t>
            </w:r>
          </w:p>
        </w:tc>
      </w:tr>
      <w:tr w:rsidR="004609D7" w:rsidRPr="003F79A5"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hideMark/>
          </w:tcPr>
          <w:p w:rsidR="004609D7" w:rsidRPr="003F79A5" w:rsidRDefault="004609D7" w:rsidP="00B74079">
            <w:pPr>
              <w:spacing w:line="360" w:lineRule="auto"/>
            </w:pPr>
            <w:r w:rsidRPr="003F79A5">
              <w:rPr>
                <w:lang w:val="en-US"/>
              </w:rPr>
              <w:t>KYOCERA</w:t>
            </w:r>
            <w:r w:rsidRPr="003F79A5">
              <w:t xml:space="preserve"> km2530</w:t>
            </w:r>
          </w:p>
        </w:tc>
        <w:tc>
          <w:tcPr>
            <w:tcW w:w="1311" w:type="pct"/>
            <w:tcBorders>
              <w:top w:val="nil"/>
              <w:left w:val="nil"/>
              <w:bottom w:val="single" w:sz="4" w:space="0" w:color="auto"/>
              <w:right w:val="single" w:sz="4" w:space="0" w:color="auto"/>
            </w:tcBorders>
            <w:shd w:val="clear" w:color="000000" w:fill="C5D9F1"/>
            <w:noWrap/>
            <w:vAlign w:val="bottom"/>
            <w:hideMark/>
          </w:tcPr>
          <w:p w:rsidR="004609D7" w:rsidRPr="003F79A5" w:rsidRDefault="004609D7" w:rsidP="00B74079">
            <w:pPr>
              <w:spacing w:line="360" w:lineRule="auto"/>
              <w:jc w:val="center"/>
            </w:pPr>
            <w:r w:rsidRPr="003F79A5">
              <w:t>6.000</w:t>
            </w:r>
          </w:p>
        </w:tc>
        <w:tc>
          <w:tcPr>
            <w:tcW w:w="1333" w:type="pct"/>
            <w:tcBorders>
              <w:top w:val="nil"/>
              <w:left w:val="nil"/>
              <w:bottom w:val="single" w:sz="4" w:space="0" w:color="auto"/>
              <w:right w:val="single" w:sz="4" w:space="0" w:color="auto"/>
            </w:tcBorders>
            <w:shd w:val="clear" w:color="000000" w:fill="C5D9F1"/>
            <w:noWrap/>
            <w:vAlign w:val="bottom"/>
            <w:hideMark/>
          </w:tcPr>
          <w:p w:rsidR="004609D7" w:rsidRPr="003F79A5" w:rsidRDefault="004609D7" w:rsidP="00B74079">
            <w:pPr>
              <w:spacing w:line="360" w:lineRule="auto"/>
              <w:jc w:val="center"/>
            </w:pPr>
            <w:r>
              <w:t>0</w:t>
            </w:r>
          </w:p>
        </w:tc>
      </w:tr>
      <w:tr w:rsidR="004609D7" w:rsidRPr="003F79A5"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tcPr>
          <w:p w:rsidR="004609D7" w:rsidRPr="00BF4B40" w:rsidRDefault="004609D7" w:rsidP="00B74079">
            <w:pPr>
              <w:spacing w:line="360" w:lineRule="auto"/>
              <w:rPr>
                <w:lang w:val="en-US"/>
              </w:rPr>
            </w:pPr>
            <w:r w:rsidRPr="003F79A5">
              <w:rPr>
                <w:lang w:val="en-US"/>
              </w:rPr>
              <w:t xml:space="preserve">KONICA </w:t>
            </w:r>
            <w:proofErr w:type="spellStart"/>
            <w:r w:rsidRPr="003F79A5">
              <w:t>BizHub</w:t>
            </w:r>
            <w:proofErr w:type="spellEnd"/>
            <w:r>
              <w:t xml:space="preserve"> </w:t>
            </w:r>
            <w:r>
              <w:rPr>
                <w:lang w:val="en-US"/>
              </w:rPr>
              <w:t>C</w:t>
            </w:r>
            <w:r w:rsidRPr="00BF4B40">
              <w:rPr>
                <w:lang w:val="en-US"/>
              </w:rPr>
              <w:t>3110</w:t>
            </w:r>
          </w:p>
        </w:tc>
        <w:tc>
          <w:tcPr>
            <w:tcW w:w="1311" w:type="pct"/>
            <w:tcBorders>
              <w:top w:val="nil"/>
              <w:left w:val="nil"/>
              <w:bottom w:val="single" w:sz="4" w:space="0" w:color="auto"/>
              <w:right w:val="single" w:sz="4" w:space="0" w:color="auto"/>
            </w:tcBorders>
            <w:shd w:val="clear" w:color="000000" w:fill="C5D9F1"/>
            <w:noWrap/>
            <w:vAlign w:val="bottom"/>
          </w:tcPr>
          <w:p w:rsidR="004609D7" w:rsidRPr="003F79A5" w:rsidRDefault="004609D7" w:rsidP="00B74079">
            <w:pPr>
              <w:spacing w:line="360" w:lineRule="auto"/>
              <w:jc w:val="center"/>
            </w:pPr>
            <w:r>
              <w:t>3.000</w:t>
            </w:r>
          </w:p>
        </w:tc>
        <w:tc>
          <w:tcPr>
            <w:tcW w:w="1333" w:type="pct"/>
            <w:tcBorders>
              <w:top w:val="nil"/>
              <w:left w:val="nil"/>
              <w:bottom w:val="single" w:sz="4" w:space="0" w:color="auto"/>
              <w:right w:val="single" w:sz="4" w:space="0" w:color="auto"/>
            </w:tcBorders>
            <w:shd w:val="clear" w:color="000000" w:fill="C5D9F1"/>
            <w:noWrap/>
            <w:vAlign w:val="bottom"/>
          </w:tcPr>
          <w:p w:rsidR="004609D7" w:rsidRDefault="004609D7" w:rsidP="00B74079">
            <w:pPr>
              <w:spacing w:line="360" w:lineRule="auto"/>
              <w:jc w:val="center"/>
            </w:pPr>
            <w:r>
              <w:t>7.000</w:t>
            </w:r>
          </w:p>
        </w:tc>
      </w:tr>
      <w:tr w:rsidR="004609D7" w:rsidRPr="003F79A5"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tcPr>
          <w:p w:rsidR="004609D7" w:rsidRPr="003F79A5" w:rsidRDefault="004609D7" w:rsidP="00B74079">
            <w:pPr>
              <w:spacing w:line="360" w:lineRule="auto"/>
              <w:rPr>
                <w:lang w:val="en-US"/>
              </w:rPr>
            </w:pPr>
            <w:r w:rsidRPr="003F79A5">
              <w:rPr>
                <w:lang w:val="en-US"/>
              </w:rPr>
              <w:t xml:space="preserve">KONICA </w:t>
            </w:r>
            <w:proofErr w:type="spellStart"/>
            <w:r w:rsidRPr="003F79A5">
              <w:t>BizHub</w:t>
            </w:r>
            <w:proofErr w:type="spellEnd"/>
            <w:r w:rsidRPr="003F79A5">
              <w:t xml:space="preserve"> </w:t>
            </w:r>
            <w:r w:rsidRPr="003F79A5">
              <w:rPr>
                <w:lang w:val="en-US"/>
              </w:rPr>
              <w:t>C</w:t>
            </w:r>
            <w:r w:rsidRPr="003F79A5">
              <w:t>654</w:t>
            </w:r>
          </w:p>
        </w:tc>
        <w:tc>
          <w:tcPr>
            <w:tcW w:w="1311" w:type="pct"/>
            <w:vMerge w:val="restart"/>
            <w:tcBorders>
              <w:top w:val="nil"/>
              <w:left w:val="nil"/>
              <w:right w:val="single" w:sz="4" w:space="0" w:color="auto"/>
            </w:tcBorders>
            <w:shd w:val="clear" w:color="000000" w:fill="C5D9F1"/>
            <w:noWrap/>
            <w:vAlign w:val="center"/>
          </w:tcPr>
          <w:p w:rsidR="004609D7" w:rsidRPr="003F79A5" w:rsidRDefault="004609D7" w:rsidP="00B74079">
            <w:pPr>
              <w:spacing w:line="360" w:lineRule="auto"/>
              <w:jc w:val="center"/>
            </w:pPr>
            <w:r>
              <w:t>800.000</w:t>
            </w:r>
          </w:p>
        </w:tc>
        <w:tc>
          <w:tcPr>
            <w:tcW w:w="1333" w:type="pct"/>
            <w:vMerge w:val="restart"/>
            <w:tcBorders>
              <w:top w:val="nil"/>
              <w:left w:val="nil"/>
              <w:right w:val="single" w:sz="4" w:space="0" w:color="auto"/>
            </w:tcBorders>
            <w:shd w:val="clear" w:color="000000" w:fill="C5D9F1"/>
            <w:noWrap/>
            <w:vAlign w:val="center"/>
          </w:tcPr>
          <w:p w:rsidR="004609D7" w:rsidRPr="003F79A5" w:rsidRDefault="004609D7" w:rsidP="00B74079">
            <w:pPr>
              <w:spacing w:line="360" w:lineRule="auto"/>
              <w:jc w:val="center"/>
            </w:pPr>
            <w:r>
              <w:t>50.000</w:t>
            </w:r>
          </w:p>
        </w:tc>
      </w:tr>
      <w:tr w:rsidR="004609D7" w:rsidRPr="003F79A5"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tcPr>
          <w:p w:rsidR="004609D7" w:rsidRPr="003F79A5" w:rsidRDefault="004609D7" w:rsidP="00B74079">
            <w:pPr>
              <w:spacing w:line="360" w:lineRule="auto"/>
              <w:rPr>
                <w:lang w:val="en-US"/>
              </w:rPr>
            </w:pPr>
            <w:r w:rsidRPr="003F79A5">
              <w:rPr>
                <w:lang w:val="en-US"/>
              </w:rPr>
              <w:t xml:space="preserve">KONICA </w:t>
            </w:r>
            <w:proofErr w:type="spellStart"/>
            <w:r w:rsidRPr="003F79A5">
              <w:t>BizHub</w:t>
            </w:r>
            <w:proofErr w:type="spellEnd"/>
            <w:r w:rsidRPr="003F79A5">
              <w:t xml:space="preserve"> 654</w:t>
            </w:r>
          </w:p>
        </w:tc>
        <w:tc>
          <w:tcPr>
            <w:tcW w:w="1311" w:type="pct"/>
            <w:vMerge/>
            <w:tcBorders>
              <w:left w:val="nil"/>
              <w:right w:val="single" w:sz="4" w:space="0" w:color="auto"/>
            </w:tcBorders>
            <w:shd w:val="clear" w:color="000000" w:fill="C5D9F1"/>
            <w:noWrap/>
            <w:vAlign w:val="bottom"/>
          </w:tcPr>
          <w:p w:rsidR="004609D7" w:rsidRPr="003F79A5" w:rsidRDefault="004609D7" w:rsidP="00B74079">
            <w:pPr>
              <w:spacing w:line="360" w:lineRule="auto"/>
              <w:jc w:val="center"/>
            </w:pPr>
          </w:p>
        </w:tc>
        <w:tc>
          <w:tcPr>
            <w:tcW w:w="1333" w:type="pct"/>
            <w:vMerge/>
            <w:tcBorders>
              <w:left w:val="nil"/>
              <w:right w:val="single" w:sz="4" w:space="0" w:color="auto"/>
            </w:tcBorders>
            <w:shd w:val="clear" w:color="000000" w:fill="C5D9F1"/>
            <w:noWrap/>
            <w:vAlign w:val="bottom"/>
          </w:tcPr>
          <w:p w:rsidR="004609D7" w:rsidRPr="003F79A5" w:rsidRDefault="004609D7" w:rsidP="00B74079">
            <w:pPr>
              <w:spacing w:line="360" w:lineRule="auto"/>
              <w:jc w:val="center"/>
            </w:pPr>
          </w:p>
        </w:tc>
      </w:tr>
      <w:tr w:rsidR="004609D7" w:rsidRPr="003F79A5"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tcPr>
          <w:p w:rsidR="004609D7" w:rsidRPr="00875C33" w:rsidRDefault="004609D7" w:rsidP="00B74079">
            <w:pPr>
              <w:rPr>
                <w:rFonts w:ascii="Calibri" w:hAnsi="Calibri" w:cs="Calibri"/>
                <w:color w:val="000000"/>
              </w:rPr>
            </w:pPr>
            <w:r w:rsidRPr="003F79A5">
              <w:rPr>
                <w:lang w:val="en-US"/>
              </w:rPr>
              <w:t>KONICA</w:t>
            </w:r>
            <w:r>
              <w:rPr>
                <w:rFonts w:ascii="Calibri" w:hAnsi="Calibri" w:cs="Calibri"/>
                <w:color w:val="000000"/>
              </w:rPr>
              <w:t xml:space="preserve"> </w:t>
            </w:r>
            <w:proofErr w:type="spellStart"/>
            <w:r>
              <w:rPr>
                <w:rFonts w:ascii="Calibri" w:hAnsi="Calibri" w:cs="Calibri"/>
                <w:color w:val="000000"/>
              </w:rPr>
              <w:t>BizHub</w:t>
            </w:r>
            <w:proofErr w:type="spellEnd"/>
            <w:r>
              <w:rPr>
                <w:rFonts w:ascii="Calibri" w:hAnsi="Calibri" w:cs="Calibri"/>
                <w:color w:val="000000"/>
              </w:rPr>
              <w:t xml:space="preserve"> 227 </w:t>
            </w:r>
          </w:p>
        </w:tc>
        <w:tc>
          <w:tcPr>
            <w:tcW w:w="1311" w:type="pct"/>
            <w:vMerge/>
            <w:tcBorders>
              <w:left w:val="nil"/>
              <w:right w:val="single" w:sz="4" w:space="0" w:color="auto"/>
            </w:tcBorders>
            <w:shd w:val="clear" w:color="000000" w:fill="C5D9F1"/>
            <w:noWrap/>
            <w:vAlign w:val="bottom"/>
          </w:tcPr>
          <w:p w:rsidR="004609D7" w:rsidRPr="003F79A5" w:rsidRDefault="004609D7" w:rsidP="00B74079">
            <w:pPr>
              <w:spacing w:line="360" w:lineRule="auto"/>
              <w:jc w:val="center"/>
            </w:pPr>
          </w:p>
        </w:tc>
        <w:tc>
          <w:tcPr>
            <w:tcW w:w="1333" w:type="pct"/>
            <w:vMerge/>
            <w:tcBorders>
              <w:left w:val="nil"/>
              <w:right w:val="single" w:sz="4" w:space="0" w:color="auto"/>
            </w:tcBorders>
            <w:shd w:val="clear" w:color="000000" w:fill="C5D9F1"/>
            <w:noWrap/>
            <w:vAlign w:val="bottom"/>
          </w:tcPr>
          <w:p w:rsidR="004609D7" w:rsidRPr="003F79A5" w:rsidRDefault="004609D7" w:rsidP="00B74079">
            <w:pPr>
              <w:spacing w:line="360" w:lineRule="auto"/>
              <w:jc w:val="center"/>
            </w:pPr>
          </w:p>
        </w:tc>
      </w:tr>
      <w:tr w:rsidR="004609D7" w:rsidRPr="003F79A5"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tcPr>
          <w:p w:rsidR="004609D7" w:rsidRPr="003F79A5" w:rsidRDefault="004609D7" w:rsidP="00B74079">
            <w:pPr>
              <w:spacing w:line="360" w:lineRule="auto"/>
              <w:rPr>
                <w:lang w:val="en-US"/>
              </w:rPr>
            </w:pPr>
            <w:r w:rsidRPr="003F79A5">
              <w:rPr>
                <w:lang w:val="en-US"/>
              </w:rPr>
              <w:t>KONICA</w:t>
            </w:r>
            <w:r>
              <w:rPr>
                <w:rFonts w:ascii="Calibri" w:hAnsi="Calibri" w:cs="Calibri"/>
                <w:color w:val="000000"/>
              </w:rPr>
              <w:t xml:space="preserve"> </w:t>
            </w:r>
            <w:proofErr w:type="spellStart"/>
            <w:r>
              <w:rPr>
                <w:rFonts w:ascii="Calibri" w:hAnsi="Calibri" w:cs="Calibri"/>
                <w:color w:val="000000"/>
              </w:rPr>
              <w:t>BizHub</w:t>
            </w:r>
            <w:proofErr w:type="spellEnd"/>
            <w:r>
              <w:rPr>
                <w:rFonts w:ascii="Calibri" w:hAnsi="Calibri" w:cs="Calibri"/>
                <w:color w:val="000000"/>
              </w:rPr>
              <w:t xml:space="preserve"> </w:t>
            </w:r>
            <w:r>
              <w:rPr>
                <w:rFonts w:ascii="Calibri" w:hAnsi="Calibri" w:cs="Calibri"/>
                <w:color w:val="000000"/>
                <w:lang w:val="en-US"/>
              </w:rPr>
              <w:t>C</w:t>
            </w:r>
            <w:r>
              <w:rPr>
                <w:rFonts w:ascii="Calibri" w:hAnsi="Calibri" w:cs="Calibri"/>
                <w:color w:val="000000"/>
              </w:rPr>
              <w:t>227</w:t>
            </w:r>
          </w:p>
        </w:tc>
        <w:tc>
          <w:tcPr>
            <w:tcW w:w="1311" w:type="pct"/>
            <w:vMerge/>
            <w:tcBorders>
              <w:left w:val="nil"/>
              <w:bottom w:val="single" w:sz="4" w:space="0" w:color="auto"/>
              <w:right w:val="single" w:sz="4" w:space="0" w:color="auto"/>
            </w:tcBorders>
            <w:shd w:val="clear" w:color="000000" w:fill="C5D9F1"/>
            <w:noWrap/>
            <w:vAlign w:val="bottom"/>
          </w:tcPr>
          <w:p w:rsidR="004609D7" w:rsidRPr="003F79A5" w:rsidRDefault="004609D7" w:rsidP="00B74079">
            <w:pPr>
              <w:spacing w:line="360" w:lineRule="auto"/>
              <w:jc w:val="center"/>
            </w:pPr>
          </w:p>
        </w:tc>
        <w:tc>
          <w:tcPr>
            <w:tcW w:w="1333" w:type="pct"/>
            <w:vMerge/>
            <w:tcBorders>
              <w:left w:val="nil"/>
              <w:bottom w:val="single" w:sz="4" w:space="0" w:color="auto"/>
              <w:right w:val="single" w:sz="4" w:space="0" w:color="auto"/>
            </w:tcBorders>
            <w:shd w:val="clear" w:color="000000" w:fill="C5D9F1"/>
            <w:noWrap/>
            <w:vAlign w:val="bottom"/>
          </w:tcPr>
          <w:p w:rsidR="004609D7" w:rsidRPr="003F79A5" w:rsidRDefault="004609D7" w:rsidP="00B74079">
            <w:pPr>
              <w:spacing w:line="360" w:lineRule="auto"/>
              <w:jc w:val="center"/>
            </w:pPr>
          </w:p>
        </w:tc>
      </w:tr>
      <w:tr w:rsidR="004609D7" w:rsidRPr="003F79A5" w:rsidTr="00B74079">
        <w:trPr>
          <w:trHeight w:val="300"/>
        </w:trPr>
        <w:tc>
          <w:tcPr>
            <w:tcW w:w="2356" w:type="pct"/>
            <w:tcBorders>
              <w:top w:val="nil"/>
              <w:left w:val="nil"/>
              <w:bottom w:val="nil"/>
              <w:right w:val="nil"/>
            </w:tcBorders>
            <w:shd w:val="clear" w:color="auto" w:fill="auto"/>
            <w:noWrap/>
            <w:vAlign w:val="bottom"/>
            <w:hideMark/>
          </w:tcPr>
          <w:p w:rsidR="004609D7" w:rsidRPr="003F79A5" w:rsidRDefault="004609D7" w:rsidP="00B74079">
            <w:pPr>
              <w:spacing w:line="360" w:lineRule="auto"/>
              <w:jc w:val="center"/>
            </w:pPr>
          </w:p>
        </w:tc>
        <w:tc>
          <w:tcPr>
            <w:tcW w:w="1311"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609D7" w:rsidRPr="003F79A5" w:rsidRDefault="004609D7" w:rsidP="00B74079">
            <w:pPr>
              <w:spacing w:line="360" w:lineRule="auto"/>
              <w:jc w:val="center"/>
            </w:pPr>
            <w:r>
              <w:fldChar w:fldCharType="begin"/>
            </w:r>
            <w:r>
              <w:instrText xml:space="preserve"> =SUM(ABOVE) </w:instrText>
            </w:r>
            <w:r>
              <w:fldChar w:fldCharType="separate"/>
            </w:r>
            <w:r>
              <w:rPr>
                <w:noProof/>
              </w:rPr>
              <w:t>978.000</w:t>
            </w:r>
            <w:r>
              <w:fldChar w:fldCharType="end"/>
            </w:r>
          </w:p>
        </w:tc>
        <w:tc>
          <w:tcPr>
            <w:tcW w:w="1333" w:type="pct"/>
            <w:tcBorders>
              <w:top w:val="single" w:sz="4" w:space="0" w:color="auto"/>
              <w:left w:val="nil"/>
              <w:bottom w:val="single" w:sz="4" w:space="0" w:color="auto"/>
              <w:right w:val="single" w:sz="4" w:space="0" w:color="auto"/>
            </w:tcBorders>
            <w:shd w:val="clear" w:color="000000" w:fill="FFFF00"/>
            <w:noWrap/>
            <w:vAlign w:val="bottom"/>
          </w:tcPr>
          <w:p w:rsidR="004609D7" w:rsidRPr="003F79A5" w:rsidRDefault="004609D7" w:rsidP="00B74079">
            <w:pPr>
              <w:spacing w:line="360" w:lineRule="auto"/>
              <w:jc w:val="center"/>
            </w:pPr>
            <w:r>
              <w:fldChar w:fldCharType="begin"/>
            </w:r>
            <w:r>
              <w:instrText xml:space="preserve"> =SUM(ABOVE) </w:instrText>
            </w:r>
            <w:r>
              <w:fldChar w:fldCharType="separate"/>
            </w:r>
            <w:r>
              <w:rPr>
                <w:noProof/>
              </w:rPr>
              <w:t>108.000</w:t>
            </w:r>
            <w:r>
              <w:fldChar w:fldCharType="end"/>
            </w:r>
          </w:p>
        </w:tc>
      </w:tr>
    </w:tbl>
    <w:p w:rsidR="004609D7" w:rsidRPr="003F79A5" w:rsidRDefault="004609D7" w:rsidP="004609D7">
      <w:pPr>
        <w:rPr>
          <w:b/>
          <w:u w:val="single"/>
        </w:rPr>
      </w:pPr>
      <w:r w:rsidRPr="003F79A5">
        <w:rPr>
          <w:b/>
          <w:u w:val="single"/>
        </w:rPr>
        <w:t xml:space="preserve">Υπάρχει δυνατότητα για τον έλεγχο του εξοπλισμού μας τις παρακάτω ημερομηνίες </w:t>
      </w:r>
    </w:p>
    <w:p w:rsidR="004609D7" w:rsidRPr="003F79A5" w:rsidRDefault="004609D7" w:rsidP="004609D7">
      <w:pPr>
        <w:pStyle w:val="a3"/>
        <w:numPr>
          <w:ilvl w:val="0"/>
          <w:numId w:val="9"/>
        </w:numPr>
        <w:suppressAutoHyphens w:val="0"/>
        <w:rPr>
          <w:rFonts w:asciiTheme="minorHAnsi" w:hAnsiTheme="minorHAnsi"/>
          <w:b/>
          <w:sz w:val="22"/>
          <w:szCs w:val="22"/>
        </w:rPr>
      </w:pPr>
      <w:r>
        <w:rPr>
          <w:rFonts w:asciiTheme="minorHAnsi" w:hAnsiTheme="minorHAnsi"/>
          <w:b/>
          <w:sz w:val="22"/>
          <w:szCs w:val="22"/>
        </w:rPr>
        <w:t>Δευτέρα 17</w:t>
      </w:r>
      <w:r w:rsidRPr="003F79A5">
        <w:rPr>
          <w:rFonts w:asciiTheme="minorHAnsi" w:hAnsiTheme="minorHAnsi"/>
          <w:b/>
          <w:sz w:val="22"/>
          <w:szCs w:val="22"/>
        </w:rPr>
        <w:t xml:space="preserve"> Ιουλίου από 9:00 έως 14:00 </w:t>
      </w:r>
    </w:p>
    <w:p w:rsidR="004609D7" w:rsidRPr="00D2086A" w:rsidRDefault="004609D7" w:rsidP="004609D7">
      <w:pPr>
        <w:pStyle w:val="a3"/>
        <w:numPr>
          <w:ilvl w:val="0"/>
          <w:numId w:val="9"/>
        </w:numPr>
        <w:suppressAutoHyphens w:val="0"/>
        <w:spacing w:line="360" w:lineRule="auto"/>
        <w:jc w:val="both"/>
        <w:rPr>
          <w:rFonts w:asciiTheme="minorHAnsi" w:hAnsiTheme="minorHAnsi"/>
          <w:b/>
          <w:sz w:val="22"/>
          <w:szCs w:val="22"/>
          <w:u w:val="single"/>
        </w:rPr>
      </w:pPr>
      <w:r w:rsidRPr="00544917">
        <w:rPr>
          <w:rFonts w:asciiTheme="minorHAnsi" w:hAnsiTheme="minorHAnsi"/>
          <w:b/>
          <w:sz w:val="22"/>
          <w:szCs w:val="22"/>
        </w:rPr>
        <w:t xml:space="preserve">Πέμπτη 20 Ιουλίου  από 9:00 έως 14:00 </w:t>
      </w:r>
    </w:p>
    <w:p w:rsidR="004609D7" w:rsidRDefault="004609D7" w:rsidP="004609D7">
      <w:pPr>
        <w:spacing w:line="360" w:lineRule="auto"/>
        <w:jc w:val="both"/>
        <w:rPr>
          <w:b/>
          <w:u w:val="single"/>
        </w:rPr>
      </w:pPr>
    </w:p>
    <w:p w:rsidR="00627970" w:rsidRPr="00627970" w:rsidRDefault="00627970" w:rsidP="00627970">
      <w:pPr>
        <w:spacing w:line="360" w:lineRule="auto"/>
        <w:jc w:val="both"/>
        <w:rPr>
          <w:b/>
        </w:rPr>
      </w:pPr>
      <w:r w:rsidRPr="00627970">
        <w:rPr>
          <w:b/>
        </w:rPr>
        <w:t>Επί ποινή αποκλεισμού θα πρέπει να ισχύουν τα οριζόμενα στα  ΠΑΡΑΡΤΗΜΑΤΑ Ι και ΙΙ.</w:t>
      </w:r>
    </w:p>
    <w:p w:rsidR="004609D7" w:rsidRDefault="004609D7" w:rsidP="00673486">
      <w:pPr>
        <w:rPr>
          <w:lang w:eastAsia="el-GR"/>
        </w:rPr>
      </w:pPr>
    </w:p>
    <w:p w:rsidR="00673486" w:rsidRPr="00673486" w:rsidRDefault="00673486" w:rsidP="00673486">
      <w:pPr>
        <w:pStyle w:val="2"/>
        <w:spacing w:line="276" w:lineRule="auto"/>
        <w:rPr>
          <w:rFonts w:asciiTheme="minorHAnsi" w:hAnsiTheme="minorHAnsi"/>
          <w:lang w:val="el-GR"/>
        </w:rPr>
      </w:pPr>
      <w:r w:rsidRPr="00673486">
        <w:rPr>
          <w:rFonts w:asciiTheme="minorHAnsi" w:hAnsiTheme="minorHAnsi"/>
          <w:lang w:val="el-GR"/>
        </w:rPr>
        <w:t>ΧΡΟΝΟΔΙΑΓΡΑΜΜΑ ΕΡΓΟΥ</w:t>
      </w:r>
    </w:p>
    <w:p w:rsidR="000A462E" w:rsidRDefault="00673486" w:rsidP="00DC0CB4">
      <w:pPr>
        <w:ind w:left="426"/>
        <w:jc w:val="both"/>
        <w:rPr>
          <w:rFonts w:cs="Arial"/>
        </w:rPr>
      </w:pPr>
      <w:r w:rsidRPr="00FA3C2A">
        <w:rPr>
          <w:rFonts w:ascii="Calibri" w:hAnsi="Calibri" w:cs="Arial"/>
        </w:rPr>
        <w:t xml:space="preserve">Ο υποψήφιος Ανάδοχος οφείλει να πραγματοποιήσει τις απαραίτητες εργασίες που απαιτούνται </w:t>
      </w:r>
      <w:r w:rsidR="00DC0CB4">
        <w:rPr>
          <w:rFonts w:ascii="Calibri" w:hAnsi="Calibri" w:cs="Arial"/>
        </w:rPr>
        <w:t>ώστε τ</w:t>
      </w:r>
      <w:r w:rsidR="000A462E" w:rsidRPr="008E053C">
        <w:rPr>
          <w:rFonts w:cs="Arial"/>
        </w:rPr>
        <w:t>ο έργο θα παραλη</w:t>
      </w:r>
      <w:r w:rsidR="000A462E">
        <w:rPr>
          <w:rFonts w:cs="Arial"/>
        </w:rPr>
        <w:t>φ</w:t>
      </w:r>
      <w:r w:rsidR="000A462E" w:rsidRPr="008E053C">
        <w:rPr>
          <w:rFonts w:cs="Arial"/>
        </w:rPr>
        <w:t>θεί ως ακολούθως</w:t>
      </w:r>
      <w:r w:rsidR="000A462E">
        <w:rPr>
          <w:rFonts w:cs="Arial"/>
        </w:rPr>
        <w:t>:</w:t>
      </w:r>
    </w:p>
    <w:p w:rsidR="000A462E" w:rsidRDefault="000A462E" w:rsidP="000A462E">
      <w:pPr>
        <w:pStyle w:val="a3"/>
        <w:numPr>
          <w:ilvl w:val="1"/>
          <w:numId w:val="10"/>
        </w:numPr>
        <w:tabs>
          <w:tab w:val="left" w:pos="720"/>
        </w:tabs>
        <w:suppressAutoHyphens w:val="0"/>
        <w:spacing w:line="360" w:lineRule="auto"/>
        <w:jc w:val="both"/>
        <w:rPr>
          <w:rFonts w:asciiTheme="minorHAnsi" w:hAnsiTheme="minorHAnsi" w:cs="Arial"/>
          <w:sz w:val="22"/>
          <w:szCs w:val="22"/>
        </w:rPr>
      </w:pPr>
      <w:r>
        <w:rPr>
          <w:b/>
          <w:sz w:val="22"/>
          <w:szCs w:val="22"/>
        </w:rPr>
        <w:t>Π</w:t>
      </w:r>
      <w:r w:rsidRPr="00E67798">
        <w:rPr>
          <w:b/>
          <w:sz w:val="22"/>
          <w:szCs w:val="22"/>
        </w:rPr>
        <w:t>ρομήθεια αναλωσίμων</w:t>
      </w:r>
      <w:r>
        <w:rPr>
          <w:sz w:val="22"/>
          <w:szCs w:val="22"/>
        </w:rPr>
        <w:t xml:space="preserve"> </w:t>
      </w:r>
      <w:r>
        <w:rPr>
          <w:rFonts w:asciiTheme="minorHAnsi" w:hAnsiTheme="minorHAnsi" w:cs="Arial"/>
          <w:sz w:val="22"/>
          <w:szCs w:val="22"/>
        </w:rPr>
        <w:t xml:space="preserve">ώστε να πραγματοποιηθούν οι αναφερόμενες στο Πίνακα 1 του ΠΑΡΑΡΤΗΜΑΤΟΣ </w:t>
      </w:r>
      <w:r w:rsidR="00A872DE">
        <w:rPr>
          <w:rFonts w:asciiTheme="minorHAnsi" w:hAnsiTheme="minorHAnsi" w:cs="Arial"/>
          <w:sz w:val="22"/>
          <w:szCs w:val="22"/>
        </w:rPr>
        <w:t>Ι</w:t>
      </w:r>
      <w:r>
        <w:rPr>
          <w:rFonts w:asciiTheme="minorHAnsi" w:hAnsiTheme="minorHAnsi" w:cs="Arial"/>
          <w:sz w:val="22"/>
          <w:szCs w:val="22"/>
        </w:rPr>
        <w:t xml:space="preserve"> του διαγωνισμού. Κατ’ ελάχιστον για να γίνει παραλαβή του τμήματος αυτού του έργου θα πρέπει να δοθεί τουλάχιστον ένας γραφίτης ανά είδος και ανά μηχάνημα. Η παράδοση των αρχικών </w:t>
      </w:r>
      <w:r>
        <w:rPr>
          <w:rFonts w:asciiTheme="minorHAnsi" w:hAnsiTheme="minorHAnsi" w:cs="Arial"/>
          <w:sz w:val="22"/>
          <w:szCs w:val="22"/>
          <w:lang w:val="en-US"/>
        </w:rPr>
        <w:t>toner</w:t>
      </w:r>
      <w:r w:rsidRPr="00187613">
        <w:rPr>
          <w:rFonts w:asciiTheme="minorHAnsi" w:hAnsiTheme="minorHAnsi" w:cs="Arial"/>
          <w:sz w:val="22"/>
          <w:szCs w:val="22"/>
        </w:rPr>
        <w:t xml:space="preserve"> </w:t>
      </w:r>
      <w:r>
        <w:rPr>
          <w:rFonts w:asciiTheme="minorHAnsi" w:hAnsiTheme="minorHAnsi" w:cs="Arial"/>
          <w:sz w:val="22"/>
          <w:szCs w:val="22"/>
        </w:rPr>
        <w:t xml:space="preserve">θα γίνει εντός 30 ημερών. Σημειώνεται ότι ο ανάδοχος θα πρέπει να δεσμεύεται για το σύνολο των παραπάνω εκτυπώσεων εντός του έτους. Το κόστος δεν μπορεί να </w:t>
      </w:r>
      <w:r w:rsidRPr="00CA7143">
        <w:rPr>
          <w:rFonts w:asciiTheme="minorHAnsi" w:hAnsiTheme="minorHAnsi" w:cs="Arial"/>
          <w:sz w:val="22"/>
          <w:szCs w:val="22"/>
        </w:rPr>
        <w:t>υπερβαίνει τις 2</w:t>
      </w:r>
      <w:r>
        <w:rPr>
          <w:rFonts w:asciiTheme="minorHAnsi" w:hAnsiTheme="minorHAnsi" w:cs="Arial"/>
          <w:sz w:val="22"/>
          <w:szCs w:val="22"/>
        </w:rPr>
        <w:t>1</w:t>
      </w:r>
      <w:r w:rsidRPr="00CA7143">
        <w:rPr>
          <w:rFonts w:asciiTheme="minorHAnsi" w:hAnsiTheme="minorHAnsi" w:cs="Arial"/>
          <w:sz w:val="22"/>
          <w:szCs w:val="22"/>
        </w:rPr>
        <w:t>.000€ συμπεριλαμβανομένου</w:t>
      </w:r>
      <w:r>
        <w:rPr>
          <w:rFonts w:asciiTheme="minorHAnsi" w:hAnsiTheme="minorHAnsi" w:cs="Arial"/>
          <w:sz w:val="22"/>
          <w:szCs w:val="22"/>
        </w:rPr>
        <w:t xml:space="preserve"> του ΦΠΑ.</w:t>
      </w:r>
    </w:p>
    <w:p w:rsidR="000A462E" w:rsidRPr="00921796" w:rsidRDefault="000A462E" w:rsidP="000A462E">
      <w:pPr>
        <w:pStyle w:val="a3"/>
        <w:numPr>
          <w:ilvl w:val="1"/>
          <w:numId w:val="10"/>
        </w:numPr>
        <w:tabs>
          <w:tab w:val="left" w:pos="720"/>
        </w:tabs>
        <w:suppressAutoHyphens w:val="0"/>
        <w:spacing w:line="360" w:lineRule="auto"/>
        <w:jc w:val="both"/>
        <w:rPr>
          <w:rFonts w:asciiTheme="minorHAnsi" w:hAnsiTheme="minorHAnsi" w:cs="Arial"/>
          <w:sz w:val="22"/>
          <w:szCs w:val="22"/>
        </w:rPr>
      </w:pPr>
      <w:r>
        <w:rPr>
          <w:b/>
          <w:sz w:val="22"/>
          <w:szCs w:val="22"/>
        </w:rPr>
        <w:lastRenderedPageBreak/>
        <w:t>Π</w:t>
      </w:r>
      <w:r w:rsidRPr="00E67798">
        <w:rPr>
          <w:b/>
          <w:sz w:val="22"/>
          <w:szCs w:val="22"/>
        </w:rPr>
        <w:t xml:space="preserve">ρομήθεια </w:t>
      </w:r>
      <w:r>
        <w:rPr>
          <w:b/>
          <w:sz w:val="22"/>
          <w:szCs w:val="22"/>
        </w:rPr>
        <w:t>Φωτοτυπικού</w:t>
      </w:r>
      <w:r>
        <w:rPr>
          <w:sz w:val="22"/>
          <w:szCs w:val="22"/>
        </w:rPr>
        <w:t xml:space="preserve"> </w:t>
      </w:r>
      <w:r>
        <w:rPr>
          <w:rFonts w:asciiTheme="minorHAnsi" w:hAnsiTheme="minorHAnsi" w:cs="Arial"/>
          <w:sz w:val="22"/>
          <w:szCs w:val="22"/>
        </w:rPr>
        <w:t xml:space="preserve">ώστε να πραγματοποιηθούν και μέρος από τις αναφερόμενες εκτυπώσεις στο Πίνακα 1 του ΠΑΡΑΡΤΗΜΑΤΟΣ </w:t>
      </w:r>
      <w:r w:rsidR="00A872DE">
        <w:rPr>
          <w:rFonts w:asciiTheme="minorHAnsi" w:hAnsiTheme="minorHAnsi" w:cs="Arial"/>
          <w:sz w:val="22"/>
          <w:szCs w:val="22"/>
        </w:rPr>
        <w:t>Ι</w:t>
      </w:r>
      <w:r>
        <w:rPr>
          <w:rFonts w:asciiTheme="minorHAnsi" w:hAnsiTheme="minorHAnsi" w:cs="Arial"/>
          <w:sz w:val="22"/>
          <w:szCs w:val="22"/>
        </w:rPr>
        <w:t xml:space="preserve"> του διαγωνισμού. Η παράδοση θα γίνει εντός 40 ημερών. Το κόστος δεν μπορεί να υπερβαίνει </w:t>
      </w:r>
      <w:r w:rsidRPr="005C759C">
        <w:rPr>
          <w:rFonts w:asciiTheme="minorHAnsi" w:hAnsiTheme="minorHAnsi" w:cs="Arial"/>
          <w:sz w:val="22"/>
          <w:szCs w:val="22"/>
        </w:rPr>
        <w:t>τις 8.</w:t>
      </w:r>
      <w:r>
        <w:rPr>
          <w:rFonts w:asciiTheme="minorHAnsi" w:hAnsiTheme="minorHAnsi" w:cs="Arial"/>
          <w:sz w:val="22"/>
          <w:szCs w:val="22"/>
        </w:rPr>
        <w:t>0</w:t>
      </w:r>
      <w:r w:rsidRPr="005C759C">
        <w:rPr>
          <w:rFonts w:asciiTheme="minorHAnsi" w:hAnsiTheme="minorHAnsi" w:cs="Arial"/>
          <w:sz w:val="22"/>
          <w:szCs w:val="22"/>
        </w:rPr>
        <w:t>00€ συμπεριλαμβανομένου</w:t>
      </w:r>
      <w:r>
        <w:rPr>
          <w:rFonts w:asciiTheme="minorHAnsi" w:hAnsiTheme="minorHAnsi" w:cs="Arial"/>
          <w:sz w:val="22"/>
          <w:szCs w:val="22"/>
        </w:rPr>
        <w:t xml:space="preserve"> του ΦΠΑ.</w:t>
      </w:r>
    </w:p>
    <w:p w:rsidR="000A462E" w:rsidRDefault="000A462E" w:rsidP="000A462E">
      <w:pPr>
        <w:pStyle w:val="a3"/>
        <w:numPr>
          <w:ilvl w:val="1"/>
          <w:numId w:val="10"/>
        </w:numPr>
        <w:suppressAutoHyphens w:val="0"/>
        <w:spacing w:line="360" w:lineRule="auto"/>
        <w:jc w:val="both"/>
        <w:rPr>
          <w:rFonts w:asciiTheme="minorHAnsi" w:hAnsiTheme="minorHAnsi" w:cs="Arial"/>
          <w:sz w:val="22"/>
          <w:szCs w:val="22"/>
        </w:rPr>
      </w:pPr>
      <w:r w:rsidRPr="00C8572C">
        <w:rPr>
          <w:b/>
          <w:sz w:val="22"/>
          <w:szCs w:val="22"/>
        </w:rPr>
        <w:t>Υπηρεσίες συντήρησης και αποκατάστασης δυσλειτουργιών</w:t>
      </w:r>
      <w:r w:rsidRPr="00C8572C">
        <w:rPr>
          <w:sz w:val="22"/>
          <w:szCs w:val="22"/>
        </w:rPr>
        <w:t xml:space="preserve">, για ένα (1) έτος, του εξοπλισμού </w:t>
      </w:r>
      <w:r w:rsidRPr="00976482">
        <w:rPr>
          <w:rFonts w:asciiTheme="minorHAnsi" w:hAnsiTheme="minorHAnsi" w:cs="Arial"/>
          <w:sz w:val="22"/>
          <w:szCs w:val="22"/>
        </w:rPr>
        <w:t xml:space="preserve">εκτυπώσεων του Πίνακα 1, στο ΠΑΡΑΡΤΗΜΑ </w:t>
      </w:r>
      <w:r w:rsidR="00A872DE">
        <w:rPr>
          <w:rFonts w:asciiTheme="minorHAnsi" w:hAnsiTheme="minorHAnsi" w:cs="Arial"/>
          <w:sz w:val="22"/>
          <w:szCs w:val="22"/>
        </w:rPr>
        <w:t>Ι</w:t>
      </w:r>
      <w:r w:rsidRPr="00976482">
        <w:rPr>
          <w:rFonts w:asciiTheme="minorHAnsi" w:hAnsiTheme="minorHAnsi" w:cs="Arial"/>
          <w:sz w:val="22"/>
          <w:szCs w:val="22"/>
        </w:rPr>
        <w:t xml:space="preserve"> του διαγωνισμού. Το κόστος δεν μπορεί να υπερβαίνει τις 5.000€ συμπεριλαμβανομένου</w:t>
      </w:r>
      <w:r w:rsidRPr="00C8572C">
        <w:rPr>
          <w:rFonts w:asciiTheme="minorHAnsi" w:hAnsiTheme="minorHAnsi" w:cs="Arial"/>
          <w:sz w:val="22"/>
          <w:szCs w:val="22"/>
        </w:rPr>
        <w:t xml:space="preserve"> του ΦΠΑ, και θα πληρωθεί σε τρεις ισόποσες καταβολές στο τέλος κάθε </w:t>
      </w:r>
      <w:proofErr w:type="spellStart"/>
      <w:r w:rsidRPr="00C8572C">
        <w:rPr>
          <w:rFonts w:asciiTheme="minorHAnsi" w:hAnsiTheme="minorHAnsi" w:cs="Arial"/>
          <w:sz w:val="22"/>
          <w:szCs w:val="22"/>
        </w:rPr>
        <w:t>τετραμήνου</w:t>
      </w:r>
      <w:proofErr w:type="spellEnd"/>
      <w:r w:rsidRPr="00C8572C">
        <w:rPr>
          <w:rFonts w:asciiTheme="minorHAnsi" w:hAnsiTheme="minorHAnsi" w:cs="Arial"/>
          <w:sz w:val="22"/>
          <w:szCs w:val="22"/>
        </w:rPr>
        <w:t>.</w:t>
      </w:r>
    </w:p>
    <w:p w:rsidR="000A462E" w:rsidRPr="00921796" w:rsidRDefault="000A462E" w:rsidP="000A462E">
      <w:pPr>
        <w:pStyle w:val="a3"/>
        <w:numPr>
          <w:ilvl w:val="1"/>
          <w:numId w:val="10"/>
        </w:numPr>
        <w:tabs>
          <w:tab w:val="left" w:pos="720"/>
        </w:tabs>
        <w:suppressAutoHyphens w:val="0"/>
        <w:spacing w:line="360" w:lineRule="auto"/>
        <w:jc w:val="both"/>
        <w:rPr>
          <w:rFonts w:asciiTheme="minorHAnsi" w:hAnsiTheme="minorHAnsi" w:cs="Arial"/>
          <w:sz w:val="22"/>
          <w:szCs w:val="22"/>
        </w:rPr>
      </w:pPr>
      <w:r>
        <w:rPr>
          <w:b/>
          <w:sz w:val="22"/>
          <w:szCs w:val="22"/>
        </w:rPr>
        <w:t>Δικαίωμα Προαίρεσης</w:t>
      </w:r>
      <w:r>
        <w:rPr>
          <w:sz w:val="22"/>
          <w:szCs w:val="22"/>
        </w:rPr>
        <w:t xml:space="preserve"> </w:t>
      </w:r>
      <w:r>
        <w:rPr>
          <w:rFonts w:asciiTheme="minorHAnsi" w:hAnsiTheme="minorHAnsi" w:cs="Arial"/>
          <w:sz w:val="22"/>
          <w:szCs w:val="22"/>
        </w:rPr>
        <w:t xml:space="preserve">ώστε να αυξηθούν οι αναφερόμενες εκτυπώσεις στο Πίνακα 1 του ΠΑΡΑΡΤΗΜΑΤΟΣ </w:t>
      </w:r>
      <w:r w:rsidR="00A872DE">
        <w:rPr>
          <w:rFonts w:asciiTheme="minorHAnsi" w:hAnsiTheme="minorHAnsi" w:cs="Arial"/>
          <w:sz w:val="22"/>
          <w:szCs w:val="22"/>
        </w:rPr>
        <w:t>Ι</w:t>
      </w:r>
      <w:r>
        <w:rPr>
          <w:rFonts w:asciiTheme="minorHAnsi" w:hAnsiTheme="minorHAnsi" w:cs="Arial"/>
          <w:sz w:val="22"/>
          <w:szCs w:val="22"/>
        </w:rPr>
        <w:t xml:space="preserve"> του διαγωνισμού ή να αγοραστούν ανταλλακτικά αναλώσιμα </w:t>
      </w:r>
      <w:r w:rsidRPr="00921796">
        <w:rPr>
          <w:rFonts w:asciiTheme="minorHAnsi" w:hAnsiTheme="minorHAnsi" w:cs="Arial"/>
          <w:sz w:val="22"/>
          <w:szCs w:val="22"/>
        </w:rPr>
        <w:t>(</w:t>
      </w:r>
      <w:r>
        <w:rPr>
          <w:rFonts w:asciiTheme="minorHAnsi" w:hAnsiTheme="minorHAnsi" w:cs="Arial"/>
          <w:sz w:val="22"/>
          <w:szCs w:val="22"/>
        </w:rPr>
        <w:t xml:space="preserve">Π.χ. </w:t>
      </w:r>
      <w:r>
        <w:rPr>
          <w:rFonts w:asciiTheme="minorHAnsi" w:hAnsiTheme="minorHAnsi" w:cs="Arial"/>
          <w:sz w:val="22"/>
          <w:szCs w:val="22"/>
          <w:lang w:val="en-US"/>
        </w:rPr>
        <w:t>drum</w:t>
      </w:r>
      <w:r w:rsidRPr="00921796">
        <w:rPr>
          <w:rFonts w:asciiTheme="minorHAnsi" w:hAnsiTheme="minorHAnsi" w:cs="Arial"/>
          <w:sz w:val="22"/>
          <w:szCs w:val="22"/>
        </w:rPr>
        <w:t xml:space="preserve">, </w:t>
      </w:r>
      <w:r>
        <w:rPr>
          <w:rFonts w:asciiTheme="minorHAnsi" w:hAnsiTheme="minorHAnsi" w:cs="Arial"/>
          <w:sz w:val="22"/>
          <w:szCs w:val="22"/>
          <w:lang w:val="en-US"/>
        </w:rPr>
        <w:t>fuser</w:t>
      </w:r>
      <w:r w:rsidRPr="00921796">
        <w:rPr>
          <w:rFonts w:asciiTheme="minorHAnsi" w:hAnsiTheme="minorHAnsi" w:cs="Arial"/>
          <w:sz w:val="22"/>
          <w:szCs w:val="22"/>
        </w:rPr>
        <w:t xml:space="preserve">, </w:t>
      </w:r>
      <w:r>
        <w:rPr>
          <w:rFonts w:asciiTheme="minorHAnsi" w:hAnsiTheme="minorHAnsi" w:cs="Arial"/>
          <w:sz w:val="22"/>
          <w:szCs w:val="22"/>
        </w:rPr>
        <w:t>ροδάκια, κ.α.</w:t>
      </w:r>
      <w:r w:rsidRPr="00921796">
        <w:rPr>
          <w:rFonts w:asciiTheme="minorHAnsi" w:hAnsiTheme="minorHAnsi" w:cs="Arial"/>
          <w:sz w:val="22"/>
          <w:szCs w:val="22"/>
        </w:rPr>
        <w:t xml:space="preserve">) </w:t>
      </w:r>
      <w:r>
        <w:rPr>
          <w:rFonts w:asciiTheme="minorHAnsi" w:hAnsiTheme="minorHAnsi" w:cs="Arial"/>
          <w:sz w:val="22"/>
          <w:szCs w:val="22"/>
        </w:rPr>
        <w:t xml:space="preserve">για των εξοπλισμό του Πίνακα 1 πλην </w:t>
      </w:r>
      <w:r w:rsidRPr="00976482">
        <w:rPr>
          <w:rFonts w:asciiTheme="minorHAnsi" w:hAnsiTheme="minorHAnsi" w:cs="Arial"/>
          <w:sz w:val="22"/>
          <w:szCs w:val="22"/>
        </w:rPr>
        <w:t xml:space="preserve">των </w:t>
      </w:r>
      <w:r w:rsidRPr="00976482">
        <w:rPr>
          <w:rFonts w:asciiTheme="minorHAnsi" w:hAnsiTheme="minorHAnsi"/>
          <w:sz w:val="22"/>
          <w:szCs w:val="22"/>
          <w:lang w:val="en-US"/>
        </w:rPr>
        <w:t>KONICA</w:t>
      </w:r>
      <w:r w:rsidRPr="00976482">
        <w:rPr>
          <w:color w:val="000000"/>
          <w:sz w:val="22"/>
          <w:szCs w:val="22"/>
        </w:rPr>
        <w:t xml:space="preserve"> </w:t>
      </w:r>
      <w:proofErr w:type="spellStart"/>
      <w:r w:rsidRPr="00976482">
        <w:rPr>
          <w:color w:val="000000"/>
          <w:sz w:val="22"/>
          <w:szCs w:val="22"/>
        </w:rPr>
        <w:t>BizHub</w:t>
      </w:r>
      <w:proofErr w:type="spellEnd"/>
      <w:r w:rsidRPr="00976482">
        <w:rPr>
          <w:color w:val="000000"/>
          <w:sz w:val="22"/>
          <w:szCs w:val="22"/>
        </w:rPr>
        <w:t xml:space="preserve"> (εξαιρείται το </w:t>
      </w:r>
      <w:r w:rsidRPr="00976482">
        <w:rPr>
          <w:color w:val="000000"/>
          <w:sz w:val="22"/>
          <w:szCs w:val="22"/>
          <w:lang w:val="en-US"/>
        </w:rPr>
        <w:t>C</w:t>
      </w:r>
      <w:r w:rsidRPr="00976482">
        <w:rPr>
          <w:color w:val="000000"/>
          <w:sz w:val="22"/>
          <w:szCs w:val="22"/>
        </w:rPr>
        <w:t>3110)</w:t>
      </w:r>
      <w:r w:rsidRPr="00976482">
        <w:rPr>
          <w:rFonts w:asciiTheme="minorHAnsi" w:hAnsiTheme="minorHAnsi" w:cs="Arial"/>
          <w:sz w:val="22"/>
          <w:szCs w:val="22"/>
        </w:rPr>
        <w:t>. Το κόστος δεν μπορεί να υπερβαίνει τις 5.000€ συμπεριλαμβανομένου</w:t>
      </w:r>
      <w:r>
        <w:rPr>
          <w:rFonts w:asciiTheme="minorHAnsi" w:hAnsiTheme="minorHAnsi" w:cs="Arial"/>
          <w:sz w:val="22"/>
          <w:szCs w:val="22"/>
        </w:rPr>
        <w:t xml:space="preserve"> του ΦΠΑ, και θα ανατίθεται όπως περιγράφεται στην παράγραφο «</w:t>
      </w:r>
      <w:r w:rsidRPr="005E4B1F">
        <w:rPr>
          <w:rFonts w:asciiTheme="minorHAnsi" w:hAnsiTheme="minorHAnsi" w:cs="Arial"/>
          <w:b/>
          <w:sz w:val="22"/>
          <w:szCs w:val="22"/>
        </w:rPr>
        <w:t>Ανάλωση ποσού προαίρεσης</w:t>
      </w:r>
      <w:r>
        <w:rPr>
          <w:rFonts w:asciiTheme="minorHAnsi" w:hAnsiTheme="minorHAnsi" w:cs="Arial"/>
          <w:b/>
          <w:sz w:val="22"/>
          <w:szCs w:val="22"/>
        </w:rPr>
        <w:t>».</w:t>
      </w:r>
    </w:p>
    <w:p w:rsidR="000A462E" w:rsidRPr="008B0C46" w:rsidRDefault="000A462E" w:rsidP="000A462E">
      <w:pPr>
        <w:spacing w:line="360" w:lineRule="auto"/>
        <w:jc w:val="both"/>
        <w:rPr>
          <w:rFonts w:ascii="Calibri" w:eastAsia="Calibri" w:hAnsi="Calibri"/>
        </w:rPr>
      </w:pPr>
    </w:p>
    <w:p w:rsidR="007C158A" w:rsidRPr="003F79A5" w:rsidRDefault="007C158A" w:rsidP="007C158A">
      <w:pPr>
        <w:spacing w:line="360" w:lineRule="auto"/>
        <w:rPr>
          <w:rFonts w:cs="Calibri"/>
          <w:b/>
          <w:u w:val="single"/>
        </w:rPr>
      </w:pPr>
    </w:p>
    <w:p w:rsidR="007C158A" w:rsidRPr="007C158A" w:rsidRDefault="007C158A" w:rsidP="007C158A">
      <w:pPr>
        <w:pStyle w:val="2"/>
        <w:spacing w:line="276" w:lineRule="auto"/>
        <w:rPr>
          <w:rFonts w:asciiTheme="minorHAnsi" w:hAnsiTheme="minorHAnsi"/>
          <w:lang w:val="el-GR"/>
        </w:rPr>
      </w:pPr>
      <w:r w:rsidRPr="007C158A">
        <w:rPr>
          <w:rFonts w:asciiTheme="minorHAnsi" w:hAnsiTheme="minorHAnsi"/>
          <w:lang w:val="el-GR"/>
        </w:rPr>
        <w:t>Ανάλωση ποσού προαίρεσης</w:t>
      </w:r>
    </w:p>
    <w:p w:rsidR="007C158A" w:rsidRPr="003F79A5" w:rsidRDefault="007C158A" w:rsidP="007C158A">
      <w:pPr>
        <w:spacing w:line="360" w:lineRule="auto"/>
        <w:rPr>
          <w:rFonts w:cs="Calibri"/>
        </w:rPr>
      </w:pPr>
      <w:r>
        <w:rPr>
          <w:rFonts w:cs="Calibri"/>
        </w:rPr>
        <w:t xml:space="preserve">Το ποσό </w:t>
      </w:r>
      <w:r w:rsidRPr="0058530A">
        <w:rPr>
          <w:rFonts w:cs="Calibri"/>
        </w:rPr>
        <w:t xml:space="preserve">προαίρεσης των 5000€ </w:t>
      </w:r>
      <w:r>
        <w:rPr>
          <w:rFonts w:cs="Calibri"/>
        </w:rPr>
        <w:t xml:space="preserve">συμπεριλαμβανομένου ΦΠΑ </w:t>
      </w:r>
      <w:r w:rsidRPr="0058530A">
        <w:rPr>
          <w:rFonts w:cs="Calibri"/>
        </w:rPr>
        <w:t>δύναται</w:t>
      </w:r>
      <w:r w:rsidRPr="003F79A5">
        <w:rPr>
          <w:rFonts w:cs="Calibri"/>
        </w:rPr>
        <w:t xml:space="preserve"> να αναλωθεί:</w:t>
      </w:r>
    </w:p>
    <w:p w:rsidR="007C158A" w:rsidRPr="003F79A5" w:rsidRDefault="007C158A" w:rsidP="007C158A">
      <w:pPr>
        <w:pStyle w:val="a3"/>
        <w:numPr>
          <w:ilvl w:val="0"/>
          <w:numId w:val="13"/>
        </w:numPr>
        <w:suppressAutoHyphens w:val="0"/>
        <w:spacing w:line="360" w:lineRule="auto"/>
        <w:rPr>
          <w:rFonts w:asciiTheme="minorHAnsi" w:hAnsiTheme="minorHAnsi"/>
          <w:sz w:val="22"/>
          <w:szCs w:val="22"/>
        </w:rPr>
      </w:pPr>
      <w:r w:rsidRPr="003F79A5">
        <w:rPr>
          <w:rFonts w:asciiTheme="minorHAnsi" w:hAnsiTheme="minorHAnsi"/>
          <w:sz w:val="22"/>
          <w:szCs w:val="22"/>
        </w:rPr>
        <w:t xml:space="preserve">για την κάλυψη επιπλέον αναγκών, μη προβλέψιμων αλλά </w:t>
      </w:r>
      <w:proofErr w:type="spellStart"/>
      <w:r w:rsidRPr="003F79A5">
        <w:rPr>
          <w:rFonts w:asciiTheme="minorHAnsi" w:hAnsiTheme="minorHAnsi"/>
          <w:sz w:val="22"/>
          <w:szCs w:val="22"/>
        </w:rPr>
        <w:t>σχετιζομένων</w:t>
      </w:r>
      <w:proofErr w:type="spellEnd"/>
      <w:r w:rsidRPr="003F79A5">
        <w:rPr>
          <w:rFonts w:asciiTheme="minorHAnsi" w:hAnsiTheme="minorHAnsi"/>
          <w:sz w:val="22"/>
          <w:szCs w:val="22"/>
        </w:rPr>
        <w:t xml:space="preserve"> με την παρούσα.</w:t>
      </w:r>
    </w:p>
    <w:p w:rsidR="007C158A" w:rsidRPr="003F79A5" w:rsidRDefault="007C158A" w:rsidP="007C158A">
      <w:pPr>
        <w:pStyle w:val="a3"/>
        <w:numPr>
          <w:ilvl w:val="0"/>
          <w:numId w:val="13"/>
        </w:numPr>
        <w:suppressAutoHyphens w:val="0"/>
        <w:spacing w:line="360" w:lineRule="auto"/>
        <w:rPr>
          <w:rFonts w:asciiTheme="minorHAnsi" w:hAnsiTheme="minorHAnsi"/>
          <w:sz w:val="22"/>
          <w:szCs w:val="22"/>
        </w:rPr>
      </w:pPr>
      <w:r w:rsidRPr="003F79A5">
        <w:rPr>
          <w:rFonts w:asciiTheme="minorHAnsi" w:hAnsiTheme="minorHAnsi"/>
          <w:sz w:val="22"/>
          <w:szCs w:val="22"/>
        </w:rPr>
        <w:t xml:space="preserve">Για την αγορά ανταλλακτικών που προκύψαν από μη ορθή χρήση των μηχανημάτων του Πίνακα 1. </w:t>
      </w:r>
    </w:p>
    <w:p w:rsidR="007C158A" w:rsidRPr="003F79A5" w:rsidRDefault="007C158A" w:rsidP="007C158A">
      <w:pPr>
        <w:spacing w:line="360" w:lineRule="auto"/>
        <w:rPr>
          <w:rFonts w:cs="Calibri"/>
        </w:rPr>
      </w:pPr>
      <w:r w:rsidRPr="003F79A5">
        <w:rPr>
          <w:rFonts w:cs="Calibri"/>
        </w:rPr>
        <w:t>Γενικά η διαδικασία που θα ακολουθείται είναι η εξής:</w:t>
      </w:r>
    </w:p>
    <w:p w:rsidR="007C158A" w:rsidRPr="003F79A5" w:rsidRDefault="007C158A" w:rsidP="007C158A">
      <w:pPr>
        <w:numPr>
          <w:ilvl w:val="0"/>
          <w:numId w:val="12"/>
        </w:numPr>
        <w:tabs>
          <w:tab w:val="left" w:pos="709"/>
        </w:tabs>
        <w:spacing w:after="0" w:line="360" w:lineRule="auto"/>
        <w:jc w:val="both"/>
      </w:pPr>
      <w:r w:rsidRPr="003F79A5">
        <w:t xml:space="preserve">Κλήση για αποκατάσταση βλάβης από το Τμήμα Μηχανογράφησης &amp; Συστημάτων </w:t>
      </w:r>
      <w:r>
        <w:t>της</w:t>
      </w:r>
      <w:r w:rsidRPr="003F79A5">
        <w:t xml:space="preserve"> ΕΤΕΑΝ ΑΕ</w:t>
      </w:r>
    </w:p>
    <w:p w:rsidR="007C158A" w:rsidRPr="003F79A5" w:rsidRDefault="007C158A" w:rsidP="007C158A">
      <w:pPr>
        <w:numPr>
          <w:ilvl w:val="0"/>
          <w:numId w:val="12"/>
        </w:numPr>
        <w:tabs>
          <w:tab w:val="left" w:pos="709"/>
        </w:tabs>
        <w:spacing w:after="0" w:line="360" w:lineRule="auto"/>
        <w:jc w:val="both"/>
      </w:pPr>
      <w:r w:rsidRPr="003F79A5">
        <w:t xml:space="preserve">Δωρεάν εξέταση </w:t>
      </w:r>
      <w:r>
        <w:t>της</w:t>
      </w:r>
      <w:r w:rsidRPr="003F79A5">
        <w:t xml:space="preserve"> κατάστασης του μηχανήματος και σύνταξη πρότασης για τα απαιτούμενα ανταλλακτικά που πρέπει να αντικατασταθούν λόγο κακής χρήσης των μηχανημάτων. </w:t>
      </w:r>
    </w:p>
    <w:p w:rsidR="007C158A" w:rsidRPr="003F79A5" w:rsidRDefault="007C158A" w:rsidP="007C158A">
      <w:pPr>
        <w:numPr>
          <w:ilvl w:val="0"/>
          <w:numId w:val="12"/>
        </w:numPr>
        <w:tabs>
          <w:tab w:val="left" w:pos="709"/>
        </w:tabs>
        <w:spacing w:after="0" w:line="360" w:lineRule="auto"/>
        <w:jc w:val="both"/>
      </w:pPr>
      <w:r w:rsidRPr="003F79A5">
        <w:t xml:space="preserve">Αποστολή για έγκριση με </w:t>
      </w:r>
      <w:r w:rsidRPr="003F79A5">
        <w:rPr>
          <w:lang w:val="en-US"/>
        </w:rPr>
        <w:t>e</w:t>
      </w:r>
      <w:r w:rsidRPr="003F79A5">
        <w:t>-</w:t>
      </w:r>
      <w:r w:rsidRPr="003F79A5">
        <w:rPr>
          <w:lang w:val="en-US"/>
        </w:rPr>
        <w:t>mail</w:t>
      </w:r>
      <w:r w:rsidRPr="003F79A5">
        <w:t xml:space="preserve"> στο </w:t>
      </w:r>
      <w:r w:rsidRPr="003F79A5">
        <w:rPr>
          <w:lang w:val="en-US"/>
        </w:rPr>
        <w:t>it</w:t>
      </w:r>
      <w:r w:rsidRPr="003F79A5">
        <w:t>@</w:t>
      </w:r>
      <w:proofErr w:type="spellStart"/>
      <w:r w:rsidRPr="003F79A5">
        <w:rPr>
          <w:lang w:val="en-US"/>
        </w:rPr>
        <w:t>etean</w:t>
      </w:r>
      <w:proofErr w:type="spellEnd"/>
      <w:r w:rsidRPr="003F79A5">
        <w:t>.</w:t>
      </w:r>
      <w:r w:rsidRPr="003F79A5">
        <w:rPr>
          <w:lang w:val="en-US"/>
        </w:rPr>
        <w:t>com</w:t>
      </w:r>
      <w:r w:rsidRPr="003F79A5">
        <w:t>.</w:t>
      </w:r>
      <w:r w:rsidRPr="003F79A5">
        <w:rPr>
          <w:lang w:val="en-US"/>
        </w:rPr>
        <w:t>gr</w:t>
      </w:r>
      <w:r w:rsidRPr="003F79A5">
        <w:t xml:space="preserve"> (Τμήμα Μηχανογράφησης &amp; Συστημάτων </w:t>
      </w:r>
      <w:r>
        <w:t>της</w:t>
      </w:r>
      <w:r w:rsidRPr="003F79A5">
        <w:t xml:space="preserve"> ΕΤΕΑΝ ΑΕ) </w:t>
      </w:r>
      <w:r>
        <w:t>της</w:t>
      </w:r>
      <w:r w:rsidRPr="003F79A5">
        <w:t xml:space="preserve"> πρότασης εργασιών. </w:t>
      </w:r>
    </w:p>
    <w:p w:rsidR="007C158A" w:rsidRPr="003F79A5" w:rsidRDefault="007C158A" w:rsidP="007C158A">
      <w:pPr>
        <w:numPr>
          <w:ilvl w:val="0"/>
          <w:numId w:val="12"/>
        </w:numPr>
        <w:tabs>
          <w:tab w:val="left" w:pos="709"/>
        </w:tabs>
        <w:spacing w:after="0" w:line="360" w:lineRule="auto"/>
        <w:jc w:val="both"/>
      </w:pPr>
      <w:r w:rsidRPr="003F79A5">
        <w:lastRenderedPageBreak/>
        <w:t xml:space="preserve">Θα αποστέλλεται έγκριση από το Τμήμα Μηχανογράφησης &amp; Συστημάτων </w:t>
      </w:r>
      <w:r>
        <w:t>της</w:t>
      </w:r>
      <w:r w:rsidRPr="003F79A5">
        <w:t xml:space="preserve"> ΕΤΕΑΝ ΑΕ με κοινοποίηση στο Τμήμα Λογιστηρίου</w:t>
      </w:r>
    </w:p>
    <w:p w:rsidR="007C158A" w:rsidRPr="003F79A5" w:rsidRDefault="007C158A" w:rsidP="007C158A">
      <w:pPr>
        <w:numPr>
          <w:ilvl w:val="0"/>
          <w:numId w:val="12"/>
        </w:numPr>
        <w:tabs>
          <w:tab w:val="left" w:pos="709"/>
        </w:tabs>
        <w:spacing w:after="0" w:line="360" w:lineRule="auto"/>
        <w:jc w:val="both"/>
      </w:pPr>
      <w:r w:rsidRPr="003F79A5">
        <w:t xml:space="preserve">Μετά το πέρας </w:t>
      </w:r>
      <w:r>
        <w:t>της</w:t>
      </w:r>
      <w:r w:rsidRPr="003F79A5">
        <w:t xml:space="preserve"> επισκευής θα παραλαμβάνεται το σχετικό τιμολόγιο από το Τμήμα Μηχανογράφησης &amp; Συστημάτων </w:t>
      </w:r>
      <w:r>
        <w:t>της</w:t>
      </w:r>
      <w:r w:rsidRPr="003F79A5">
        <w:t xml:space="preserve"> ΕΤΕΑΝ ΑΕ και θα εξοφλείται εντός 30 ημερών από το  Τμήμα Λογιστηρίου.</w:t>
      </w:r>
    </w:p>
    <w:p w:rsidR="007C158A" w:rsidRPr="003F79A5" w:rsidRDefault="007C158A" w:rsidP="007C158A">
      <w:pPr>
        <w:spacing w:line="360" w:lineRule="auto"/>
        <w:rPr>
          <w:rFonts w:cs="Calibri"/>
        </w:rPr>
      </w:pPr>
    </w:p>
    <w:p w:rsidR="007C158A" w:rsidRPr="003F79A5" w:rsidRDefault="007C158A" w:rsidP="007C158A">
      <w:pPr>
        <w:spacing w:line="360" w:lineRule="auto"/>
        <w:ind w:right="10"/>
        <w:jc w:val="both"/>
      </w:pPr>
      <w:r w:rsidRPr="003F79A5">
        <w:t xml:space="preserve">Σημειώνεται ότι το ποσό προαίρεσης αποτελεί μέρος </w:t>
      </w:r>
      <w:r>
        <w:t>της</w:t>
      </w:r>
      <w:r w:rsidRPr="003F79A5">
        <w:t xml:space="preserve"> συνολικής δαπάνης για ένα έτος, χωρίς την υποχρέωση </w:t>
      </w:r>
      <w:r>
        <w:t>της</w:t>
      </w:r>
      <w:r w:rsidRPr="003F79A5">
        <w:t xml:space="preserve"> να αναλωθεί από την πλευρά </w:t>
      </w:r>
      <w:r>
        <w:t>της</w:t>
      </w:r>
      <w:r w:rsidRPr="003F79A5">
        <w:t xml:space="preserve"> ΕΤΕΑΝ ΑΕ.</w:t>
      </w:r>
    </w:p>
    <w:p w:rsidR="007C158A" w:rsidRPr="003F79A5" w:rsidRDefault="007C158A" w:rsidP="007C158A">
      <w:pPr>
        <w:tabs>
          <w:tab w:val="left" w:pos="1605"/>
        </w:tabs>
        <w:spacing w:line="360" w:lineRule="auto"/>
        <w:rPr>
          <w:b/>
          <w:u w:val="single"/>
        </w:rPr>
      </w:pPr>
    </w:p>
    <w:p w:rsidR="007C158A" w:rsidRPr="007C158A" w:rsidRDefault="007C158A" w:rsidP="007C158A">
      <w:pPr>
        <w:pStyle w:val="2"/>
        <w:spacing w:line="276" w:lineRule="auto"/>
        <w:rPr>
          <w:rFonts w:asciiTheme="minorHAnsi" w:hAnsiTheme="minorHAnsi"/>
          <w:lang w:val="el-GR"/>
        </w:rPr>
      </w:pPr>
      <w:bookmarkStart w:id="17" w:name="_GoBack"/>
      <w:r w:rsidRPr="007C158A">
        <w:rPr>
          <w:rFonts w:asciiTheme="minorHAnsi" w:hAnsiTheme="minorHAnsi"/>
          <w:lang w:val="el-GR"/>
        </w:rPr>
        <w:t>Τεχνική υποστήριξη</w:t>
      </w:r>
    </w:p>
    <w:bookmarkEnd w:id="17"/>
    <w:p w:rsidR="007C158A" w:rsidRPr="003F79A5" w:rsidRDefault="007C158A" w:rsidP="007C158A">
      <w:pPr>
        <w:tabs>
          <w:tab w:val="left" w:pos="1605"/>
        </w:tabs>
        <w:spacing w:line="360" w:lineRule="auto"/>
        <w:jc w:val="both"/>
      </w:pPr>
      <w:r w:rsidRPr="003F79A5">
        <w:t>Η τεχνική υποστήριξη των αναφερόμενων στον πίνακα 1 μηχανημάτων περιλαμβάνει:</w:t>
      </w:r>
    </w:p>
    <w:p w:rsidR="007C158A" w:rsidRPr="003F79A5" w:rsidRDefault="007C158A" w:rsidP="007C158A">
      <w:pPr>
        <w:numPr>
          <w:ilvl w:val="0"/>
          <w:numId w:val="11"/>
        </w:numPr>
        <w:tabs>
          <w:tab w:val="left" w:pos="426"/>
        </w:tabs>
        <w:spacing w:after="0" w:line="360" w:lineRule="auto"/>
        <w:jc w:val="both"/>
      </w:pPr>
      <w:r w:rsidRPr="003F79A5">
        <w:t xml:space="preserve">Τη συντήρηση και καθαρισμό του μηχανήματος όταν χρειάζεται και κατόπιν  κλήσης από τον Πελάτη. </w:t>
      </w:r>
    </w:p>
    <w:p w:rsidR="007C158A" w:rsidRPr="003F79A5" w:rsidRDefault="007C158A" w:rsidP="007C158A">
      <w:pPr>
        <w:numPr>
          <w:ilvl w:val="0"/>
          <w:numId w:val="11"/>
        </w:numPr>
        <w:tabs>
          <w:tab w:val="left" w:pos="426"/>
        </w:tabs>
        <w:spacing w:after="0" w:line="360" w:lineRule="auto"/>
        <w:jc w:val="both"/>
      </w:pPr>
      <w:r w:rsidRPr="003F79A5">
        <w:t xml:space="preserve">Την αποκατάσταση κάθε βλάβης καθώς και την αντικατάσταση ( με ανταλλαγή του παλαιού </w:t>
      </w:r>
      <w:r>
        <w:t>της</w:t>
      </w:r>
      <w:r w:rsidRPr="003F79A5">
        <w:t xml:space="preserve"> ορίζει ο κατασκευαστής) κάθε ανταλλακτικού από τα αναφερόμενα στον παρακάνω πίνακα, εντός 48 ωρών.</w:t>
      </w:r>
    </w:p>
    <w:p w:rsidR="007C158A" w:rsidRPr="003F79A5" w:rsidRDefault="007C158A" w:rsidP="007C158A">
      <w:pPr>
        <w:numPr>
          <w:ilvl w:val="0"/>
          <w:numId w:val="11"/>
        </w:numPr>
        <w:tabs>
          <w:tab w:val="left" w:pos="426"/>
        </w:tabs>
        <w:spacing w:after="0" w:line="360" w:lineRule="auto"/>
        <w:jc w:val="both"/>
      </w:pPr>
      <w:r w:rsidRPr="003F79A5">
        <w:t xml:space="preserve">Τα ανταλλακτικά τα οποία δεν περιλαμβάνονται θα προμηθεύονται από την ΕΤΕΑΝ ΑΕ με βάση τη διαδικασία που περιγράφεται είτε στο πλαίσιο του Κανονισμού Προμηθειών </w:t>
      </w:r>
      <w:r>
        <w:t>της</w:t>
      </w:r>
      <w:r w:rsidRPr="003F79A5">
        <w:t xml:space="preserve">, είτε με την ανάλωση του ποσού προαίρεσης </w:t>
      </w:r>
      <w:r>
        <w:t>της</w:t>
      </w:r>
      <w:r w:rsidRPr="003F79A5">
        <w:t xml:space="preserve"> αναγράφεται παραπάνω, και υποχρεούται ο ανάδοχος για τη τοποθέτηση </w:t>
      </w:r>
      <w:r>
        <w:t>της</w:t>
      </w:r>
      <w:r w:rsidRPr="003F79A5">
        <w:t xml:space="preserve"> χωρίς να υπάρχει κόστος </w:t>
      </w:r>
      <w:r>
        <w:t>της</w:t>
      </w:r>
      <w:r w:rsidRPr="003F79A5">
        <w:t xml:space="preserve"> εργασίας του.  </w:t>
      </w:r>
    </w:p>
    <w:p w:rsidR="007C158A" w:rsidRPr="003F79A5" w:rsidRDefault="007C158A" w:rsidP="007C158A">
      <w:pPr>
        <w:numPr>
          <w:ilvl w:val="0"/>
          <w:numId w:val="11"/>
        </w:numPr>
        <w:tabs>
          <w:tab w:val="left" w:pos="426"/>
        </w:tabs>
        <w:spacing w:after="0" w:line="360" w:lineRule="auto"/>
        <w:jc w:val="both"/>
      </w:pPr>
      <w:r w:rsidRPr="003F79A5">
        <w:t xml:space="preserve">Η εκτέλεση των </w:t>
      </w:r>
      <w:proofErr w:type="spellStart"/>
      <w:r w:rsidRPr="003F79A5">
        <w:t>απαιτουμένων</w:t>
      </w:r>
      <w:proofErr w:type="spellEnd"/>
      <w:r w:rsidRPr="003F79A5">
        <w:t xml:space="preserve"> τεχνικών εργασιών θα πραγματοποιείται εντός των εργάσιμων ωρών </w:t>
      </w:r>
      <w:r>
        <w:t>της</w:t>
      </w:r>
      <w:r w:rsidRPr="003F79A5">
        <w:t xml:space="preserve"> Εταιρίας (Δευτέρα έως Παρασκευή 08:30 -16:30) εκτός των επισήμων αργιών. </w:t>
      </w:r>
    </w:p>
    <w:p w:rsidR="007C158A" w:rsidRPr="003F79A5" w:rsidRDefault="007C158A" w:rsidP="007C158A">
      <w:pPr>
        <w:spacing w:line="360" w:lineRule="auto"/>
        <w:ind w:right="10"/>
        <w:jc w:val="both"/>
      </w:pPr>
    </w:p>
    <w:p w:rsidR="005D71B1" w:rsidRPr="00604075" w:rsidRDefault="005D71B1" w:rsidP="00604075">
      <w:pPr>
        <w:spacing w:after="160" w:line="360" w:lineRule="auto"/>
        <w:rPr>
          <w:b/>
          <w:sz w:val="32"/>
          <w:szCs w:val="32"/>
        </w:rPr>
      </w:pPr>
    </w:p>
    <w:sectPr w:rsidR="005D71B1" w:rsidRPr="006040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02E11F2"/>
    <w:multiLevelType w:val="multilevel"/>
    <w:tmpl w:val="A426AF18"/>
    <w:lvl w:ilvl="0">
      <w:start w:val="1"/>
      <w:numFmt w:val="decimal"/>
      <w:lvlRestart w:val="0"/>
      <w:lvlText w:val="Α%1."/>
      <w:lvlJc w:val="left"/>
      <w:pPr>
        <w:tabs>
          <w:tab w:val="num" w:pos="360"/>
        </w:tabs>
        <w:ind w:left="360" w:hanging="360"/>
      </w:pPr>
      <w:rPr>
        <w:rFonts w:cs="Times New Roman" w:hint="default"/>
      </w:rPr>
    </w:lvl>
    <w:lvl w:ilvl="1">
      <w:start w:val="1"/>
      <w:numFmt w:val="decimal"/>
      <w:pStyle w:val="2"/>
      <w:isLgl/>
      <w:lvlText w:val="Α%1.%2"/>
      <w:lvlJc w:val="left"/>
      <w:pPr>
        <w:tabs>
          <w:tab w:val="num" w:pos="360"/>
        </w:tabs>
        <w:ind w:left="360" w:hanging="360"/>
      </w:pPr>
      <w:rPr>
        <w:rFonts w:cs="Times New Roman" w:hint="default"/>
      </w:rPr>
    </w:lvl>
    <w:lvl w:ilvl="2">
      <w:start w:val="1"/>
      <w:numFmt w:val="decimal"/>
      <w:pStyle w:val="3"/>
      <w:isLgl/>
      <w:lvlText w:val="Α%1.%2.%3"/>
      <w:lvlJc w:val="left"/>
      <w:pPr>
        <w:tabs>
          <w:tab w:val="num" w:pos="720"/>
        </w:tabs>
        <w:ind w:left="720" w:hanging="720"/>
      </w:pPr>
      <w:rPr>
        <w:rFonts w:cs="Times New Roman" w:hint="default"/>
      </w:rPr>
    </w:lvl>
    <w:lvl w:ilvl="3">
      <w:start w:val="1"/>
      <w:numFmt w:val="decimal"/>
      <w:isLgl/>
      <w:lvlText w:val="A%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00A036FA"/>
    <w:multiLevelType w:val="hybridMultilevel"/>
    <w:tmpl w:val="91EC9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5383F"/>
    <w:multiLevelType w:val="hybridMultilevel"/>
    <w:tmpl w:val="2CAADA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2D46FD0"/>
    <w:multiLevelType w:val="hybridMultilevel"/>
    <w:tmpl w:val="BB0687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5870010"/>
    <w:multiLevelType w:val="multilevel"/>
    <w:tmpl w:val="1186C8F0"/>
    <w:lvl w:ilvl="0">
      <w:start w:val="1"/>
      <w:numFmt w:val="decimal"/>
      <w:pStyle w:val="MyHeading1"/>
      <w:suff w:val="space"/>
      <w:lvlText w:val="%1."/>
      <w:lvlJc w:val="left"/>
      <w:pPr>
        <w:ind w:left="360" w:hanging="360"/>
      </w:pPr>
      <w:rPr>
        <w:rFonts w:cs="Times New Roman" w:hint="default"/>
      </w:rPr>
    </w:lvl>
    <w:lvl w:ilvl="1">
      <w:start w:val="1"/>
      <w:numFmt w:val="decimal"/>
      <w:pStyle w:val="MyHeading2"/>
      <w:suff w:val="space"/>
      <w:lvlText w:val="%1.%2."/>
      <w:lvlJc w:val="left"/>
      <w:pPr>
        <w:ind w:left="360" w:firstLine="0"/>
      </w:pPr>
      <w:rPr>
        <w:rFonts w:cs="Times New Roman" w:hint="default"/>
      </w:rPr>
    </w:lvl>
    <w:lvl w:ilvl="2">
      <w:start w:val="1"/>
      <w:numFmt w:val="decimal"/>
      <w:pStyle w:val="MyHeading3"/>
      <w:suff w:val="space"/>
      <w:lvlText w:val="%1.%2.%3."/>
      <w:lvlJc w:val="left"/>
      <w:pPr>
        <w:ind w:left="360" w:firstLine="360"/>
      </w:pPr>
      <w:rPr>
        <w:rFonts w:cs="Times New Roman" w:hint="default"/>
      </w:rPr>
    </w:lvl>
    <w:lvl w:ilvl="3">
      <w:start w:val="1"/>
      <w:numFmt w:val="decimal"/>
      <w:pStyle w:val="MyHeading4"/>
      <w:suff w:val="space"/>
      <w:lvlText w:val="%1.%2.%3.%4."/>
      <w:lvlJc w:val="left"/>
      <w:pPr>
        <w:ind w:left="982" w:firstLine="720"/>
      </w:pPr>
      <w:rPr>
        <w:rFonts w:cs="Times New Roman" w:hint="default"/>
      </w:rPr>
    </w:lvl>
    <w:lvl w:ilvl="4">
      <w:start w:val="1"/>
      <w:numFmt w:val="decimal"/>
      <w:suff w:val="space"/>
      <w:lvlText w:val="%1.%2.%3.%4.%5."/>
      <w:lvlJc w:val="left"/>
      <w:pPr>
        <w:ind w:left="360" w:firstLine="1080"/>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6" w15:restartNumberingAfterBreak="0">
    <w:nsid w:val="279001D0"/>
    <w:multiLevelType w:val="hybridMultilevel"/>
    <w:tmpl w:val="2522F4A2"/>
    <w:lvl w:ilvl="0" w:tplc="0408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7149F"/>
    <w:multiLevelType w:val="hybridMultilevel"/>
    <w:tmpl w:val="B3A42230"/>
    <w:lvl w:ilvl="0" w:tplc="0408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3B5C024F"/>
    <w:multiLevelType w:val="singleLevel"/>
    <w:tmpl w:val="E1EA6D8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13E3103"/>
    <w:multiLevelType w:val="multilevel"/>
    <w:tmpl w:val="88E2E78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37810B6"/>
    <w:multiLevelType w:val="hybridMultilevel"/>
    <w:tmpl w:val="CFD6E58A"/>
    <w:lvl w:ilvl="0" w:tplc="954ADC62">
      <w:start w:val="1"/>
      <w:numFmt w:val="bullet"/>
      <w:lvlText w:val=""/>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46532295"/>
    <w:multiLevelType w:val="hybridMultilevel"/>
    <w:tmpl w:val="B478D8F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A53E93"/>
    <w:multiLevelType w:val="hybridMultilevel"/>
    <w:tmpl w:val="95D23C9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7F6F10CF"/>
    <w:multiLevelType w:val="hybridMultilevel"/>
    <w:tmpl w:val="EBD4CC98"/>
    <w:lvl w:ilvl="0" w:tplc="0408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5"/>
  </w:num>
  <w:num w:numId="3">
    <w:abstractNumId w:val="8"/>
  </w:num>
  <w:num w:numId="4">
    <w:abstractNumId w:val="6"/>
  </w:num>
  <w:num w:numId="5">
    <w:abstractNumId w:val="13"/>
  </w:num>
  <w:num w:numId="6">
    <w:abstractNumId w:val="7"/>
  </w:num>
  <w:num w:numId="7">
    <w:abstractNumId w:val="10"/>
  </w:num>
  <w:num w:numId="8">
    <w:abstractNumId w:val="11"/>
  </w:num>
  <w:num w:numId="9">
    <w:abstractNumId w:val="3"/>
  </w:num>
  <w:num w:numId="10">
    <w:abstractNumId w:val="9"/>
  </w:num>
  <w:num w:numId="11">
    <w:abstractNumId w:val="12"/>
  </w:num>
  <w:num w:numId="12">
    <w:abstractNumId w:val="4"/>
  </w:num>
  <w:num w:numId="13">
    <w:abstractNumId w:val="2"/>
  </w:num>
  <w:num w:numId="14">
    <w:abstractNumId w:val="1"/>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A1"/>
    <w:rsid w:val="00037738"/>
    <w:rsid w:val="0007019A"/>
    <w:rsid w:val="00090963"/>
    <w:rsid w:val="00095508"/>
    <w:rsid w:val="000A462E"/>
    <w:rsid w:val="000D195E"/>
    <w:rsid w:val="00100E31"/>
    <w:rsid w:val="00103863"/>
    <w:rsid w:val="001048BE"/>
    <w:rsid w:val="001457BB"/>
    <w:rsid w:val="00165EB7"/>
    <w:rsid w:val="00184307"/>
    <w:rsid w:val="001A1716"/>
    <w:rsid w:val="001B76D2"/>
    <w:rsid w:val="001D3FF4"/>
    <w:rsid w:val="001F660C"/>
    <w:rsid w:val="00224D5E"/>
    <w:rsid w:val="002751AC"/>
    <w:rsid w:val="002907B9"/>
    <w:rsid w:val="00294A66"/>
    <w:rsid w:val="0029714A"/>
    <w:rsid w:val="002B274D"/>
    <w:rsid w:val="002B6F73"/>
    <w:rsid w:val="002B79B0"/>
    <w:rsid w:val="002E5423"/>
    <w:rsid w:val="0033195A"/>
    <w:rsid w:val="00363DA9"/>
    <w:rsid w:val="0036453D"/>
    <w:rsid w:val="00393C3E"/>
    <w:rsid w:val="003A23BF"/>
    <w:rsid w:val="003B1273"/>
    <w:rsid w:val="003D1C1A"/>
    <w:rsid w:val="00417201"/>
    <w:rsid w:val="004444E1"/>
    <w:rsid w:val="004609D7"/>
    <w:rsid w:val="00464529"/>
    <w:rsid w:val="00501144"/>
    <w:rsid w:val="00511BD3"/>
    <w:rsid w:val="0052206F"/>
    <w:rsid w:val="00572877"/>
    <w:rsid w:val="00575F91"/>
    <w:rsid w:val="00592D72"/>
    <w:rsid w:val="005D71B1"/>
    <w:rsid w:val="00601595"/>
    <w:rsid w:val="00601871"/>
    <w:rsid w:val="00604075"/>
    <w:rsid w:val="00627970"/>
    <w:rsid w:val="006503F1"/>
    <w:rsid w:val="0067086F"/>
    <w:rsid w:val="00673486"/>
    <w:rsid w:val="006A1B81"/>
    <w:rsid w:val="006E19A5"/>
    <w:rsid w:val="00736A51"/>
    <w:rsid w:val="00783ABA"/>
    <w:rsid w:val="007908C9"/>
    <w:rsid w:val="0079538F"/>
    <w:rsid w:val="007A3401"/>
    <w:rsid w:val="007B19DC"/>
    <w:rsid w:val="007C158A"/>
    <w:rsid w:val="007C28A8"/>
    <w:rsid w:val="007D3612"/>
    <w:rsid w:val="007D3805"/>
    <w:rsid w:val="007D7B32"/>
    <w:rsid w:val="007E0CA8"/>
    <w:rsid w:val="007E7011"/>
    <w:rsid w:val="00811161"/>
    <w:rsid w:val="00817EA1"/>
    <w:rsid w:val="00896B12"/>
    <w:rsid w:val="008F7ECB"/>
    <w:rsid w:val="00915619"/>
    <w:rsid w:val="00945EB3"/>
    <w:rsid w:val="00955215"/>
    <w:rsid w:val="00966470"/>
    <w:rsid w:val="00987ADF"/>
    <w:rsid w:val="009A28E5"/>
    <w:rsid w:val="00A20104"/>
    <w:rsid w:val="00A23CA8"/>
    <w:rsid w:val="00A37F8A"/>
    <w:rsid w:val="00A872DE"/>
    <w:rsid w:val="00AD7008"/>
    <w:rsid w:val="00B0629C"/>
    <w:rsid w:val="00B32BD2"/>
    <w:rsid w:val="00B52EDD"/>
    <w:rsid w:val="00B6554D"/>
    <w:rsid w:val="00B97F44"/>
    <w:rsid w:val="00BC086D"/>
    <w:rsid w:val="00BD1688"/>
    <w:rsid w:val="00BD4606"/>
    <w:rsid w:val="00BD64FD"/>
    <w:rsid w:val="00C4581B"/>
    <w:rsid w:val="00C555AA"/>
    <w:rsid w:val="00C84067"/>
    <w:rsid w:val="00C91D1F"/>
    <w:rsid w:val="00CA3FD9"/>
    <w:rsid w:val="00D00550"/>
    <w:rsid w:val="00D040AC"/>
    <w:rsid w:val="00D2055F"/>
    <w:rsid w:val="00D41CB4"/>
    <w:rsid w:val="00D5157D"/>
    <w:rsid w:val="00D525A1"/>
    <w:rsid w:val="00D539E6"/>
    <w:rsid w:val="00D5596C"/>
    <w:rsid w:val="00D63DBF"/>
    <w:rsid w:val="00D679FE"/>
    <w:rsid w:val="00D8226E"/>
    <w:rsid w:val="00DA149B"/>
    <w:rsid w:val="00DB32D6"/>
    <w:rsid w:val="00DB647A"/>
    <w:rsid w:val="00DC0CB4"/>
    <w:rsid w:val="00E10432"/>
    <w:rsid w:val="00E131B1"/>
    <w:rsid w:val="00E25EE3"/>
    <w:rsid w:val="00E97815"/>
    <w:rsid w:val="00EC7B46"/>
    <w:rsid w:val="00F04A88"/>
    <w:rsid w:val="00F14473"/>
    <w:rsid w:val="00FF63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42A27C-D35C-45FC-8D0A-67680B34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qFormat/>
    <w:rsid w:val="007D3612"/>
    <w:pPr>
      <w:keepNext/>
      <w:tabs>
        <w:tab w:val="left" w:pos="510"/>
        <w:tab w:val="left" w:pos="720"/>
      </w:tabs>
      <w:suppressAutoHyphens/>
      <w:spacing w:before="280" w:after="280" w:line="360" w:lineRule="auto"/>
      <w:ind w:left="360" w:hanging="360"/>
      <w:outlineLvl w:val="0"/>
    </w:pPr>
    <w:rPr>
      <w:rFonts w:ascii="Calibri" w:eastAsia="Times New Roman" w:hAnsi="Calibri" w:cs="Calibri"/>
      <w:b/>
      <w:bCs/>
      <w:sz w:val="26"/>
      <w:szCs w:val="26"/>
      <w:lang w:val="en-US" w:eastAsia="ar-SA"/>
    </w:rPr>
  </w:style>
  <w:style w:type="paragraph" w:styleId="2">
    <w:name w:val="heading 2"/>
    <w:basedOn w:val="3"/>
    <w:next w:val="a"/>
    <w:link w:val="2Char"/>
    <w:qFormat/>
    <w:rsid w:val="007D3612"/>
    <w:pPr>
      <w:numPr>
        <w:ilvl w:val="1"/>
      </w:numPr>
      <w:tabs>
        <w:tab w:val="clear" w:pos="2160"/>
        <w:tab w:val="left" w:pos="1553"/>
        <w:tab w:val="left" w:pos="1980"/>
      </w:tabs>
      <w:outlineLvl w:val="1"/>
    </w:pPr>
    <w:rPr>
      <w:iCs/>
    </w:rPr>
  </w:style>
  <w:style w:type="paragraph" w:styleId="3">
    <w:name w:val="heading 3"/>
    <w:basedOn w:val="a"/>
    <w:next w:val="a"/>
    <w:link w:val="3Char"/>
    <w:qFormat/>
    <w:rsid w:val="007D3612"/>
    <w:pPr>
      <w:keepNext/>
      <w:numPr>
        <w:ilvl w:val="2"/>
        <w:numId w:val="1"/>
      </w:numPr>
      <w:tabs>
        <w:tab w:val="left" w:pos="2160"/>
      </w:tabs>
      <w:suppressAutoHyphens/>
      <w:spacing w:before="280" w:after="280" w:line="240" w:lineRule="auto"/>
      <w:outlineLvl w:val="2"/>
    </w:pPr>
    <w:rPr>
      <w:rFonts w:ascii="Calibri" w:eastAsia="Times New Roman" w:hAnsi="Calibri" w:cs="Calibri"/>
      <w:b/>
      <w:bCs/>
      <w:sz w:val="26"/>
      <w:szCs w:val="26"/>
      <w:lang w:val="en-US" w:eastAsia="ar-SA"/>
    </w:rPr>
  </w:style>
  <w:style w:type="paragraph" w:styleId="4">
    <w:name w:val="heading 4"/>
    <w:basedOn w:val="a"/>
    <w:next w:val="a"/>
    <w:link w:val="4Char"/>
    <w:qFormat/>
    <w:rsid w:val="007D3612"/>
    <w:pPr>
      <w:keepNext/>
      <w:suppressAutoHyphens/>
      <w:spacing w:before="240" w:after="60" w:line="240" w:lineRule="auto"/>
      <w:outlineLvl w:val="3"/>
    </w:pPr>
    <w:rPr>
      <w:rFonts w:ascii="Calibri" w:eastAsia="Times New Roman" w:hAnsi="Calibri" w:cs="Calibri"/>
      <w:b/>
      <w:bCs/>
      <w:sz w:val="28"/>
      <w:szCs w:val="28"/>
      <w:lang w:val="en-US" w:eastAsia="ar-SA"/>
    </w:rPr>
  </w:style>
  <w:style w:type="paragraph" w:styleId="8">
    <w:name w:val="heading 8"/>
    <w:basedOn w:val="a"/>
    <w:next w:val="a"/>
    <w:link w:val="8Char"/>
    <w:uiPriority w:val="9"/>
    <w:semiHidden/>
    <w:unhideWhenUsed/>
    <w:qFormat/>
    <w:rsid w:val="009A28E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D3612"/>
    <w:rPr>
      <w:rFonts w:ascii="Calibri" w:eastAsia="Times New Roman" w:hAnsi="Calibri" w:cs="Calibri"/>
      <w:b/>
      <w:bCs/>
      <w:sz w:val="26"/>
      <w:szCs w:val="26"/>
      <w:lang w:val="en-US" w:eastAsia="ar-SA"/>
    </w:rPr>
  </w:style>
  <w:style w:type="character" w:customStyle="1" w:styleId="2Char">
    <w:name w:val="Επικεφαλίδα 2 Char"/>
    <w:basedOn w:val="a0"/>
    <w:link w:val="2"/>
    <w:rsid w:val="007D3612"/>
    <w:rPr>
      <w:rFonts w:ascii="Calibri" w:eastAsia="Times New Roman" w:hAnsi="Calibri" w:cs="Calibri"/>
      <w:b/>
      <w:bCs/>
      <w:iCs/>
      <w:sz w:val="26"/>
      <w:szCs w:val="26"/>
      <w:lang w:val="en-US" w:eastAsia="ar-SA"/>
    </w:rPr>
  </w:style>
  <w:style w:type="character" w:customStyle="1" w:styleId="3Char">
    <w:name w:val="Επικεφαλίδα 3 Char"/>
    <w:basedOn w:val="a0"/>
    <w:link w:val="3"/>
    <w:rsid w:val="007D3612"/>
    <w:rPr>
      <w:rFonts w:ascii="Calibri" w:eastAsia="Times New Roman" w:hAnsi="Calibri" w:cs="Calibri"/>
      <w:b/>
      <w:bCs/>
      <w:sz w:val="26"/>
      <w:szCs w:val="26"/>
      <w:lang w:val="en-US" w:eastAsia="ar-SA"/>
    </w:rPr>
  </w:style>
  <w:style w:type="character" w:customStyle="1" w:styleId="4Char">
    <w:name w:val="Επικεφαλίδα 4 Char"/>
    <w:basedOn w:val="a0"/>
    <w:link w:val="4"/>
    <w:rsid w:val="007D3612"/>
    <w:rPr>
      <w:rFonts w:ascii="Calibri" w:eastAsia="Times New Roman" w:hAnsi="Calibri" w:cs="Calibri"/>
      <w:b/>
      <w:bCs/>
      <w:sz w:val="28"/>
      <w:szCs w:val="28"/>
      <w:lang w:val="en-US" w:eastAsia="ar-SA"/>
    </w:rPr>
  </w:style>
  <w:style w:type="paragraph" w:styleId="a3">
    <w:name w:val="List Paragraph"/>
    <w:basedOn w:val="a"/>
    <w:uiPriority w:val="99"/>
    <w:qFormat/>
    <w:rsid w:val="007D3612"/>
    <w:pPr>
      <w:suppressAutoHyphens/>
      <w:spacing w:after="0" w:line="240" w:lineRule="auto"/>
      <w:ind w:left="720"/>
    </w:pPr>
    <w:rPr>
      <w:rFonts w:ascii="Calibri" w:eastAsia="Times New Roman" w:hAnsi="Calibri" w:cs="Calibri"/>
      <w:sz w:val="24"/>
      <w:szCs w:val="24"/>
      <w:lang w:eastAsia="ar-SA"/>
    </w:rPr>
  </w:style>
  <w:style w:type="paragraph" w:styleId="a4">
    <w:name w:val="Balloon Text"/>
    <w:basedOn w:val="a"/>
    <w:link w:val="Char"/>
    <w:uiPriority w:val="99"/>
    <w:semiHidden/>
    <w:unhideWhenUsed/>
    <w:rsid w:val="00100E3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00E31"/>
    <w:rPr>
      <w:rFonts w:ascii="Tahoma" w:hAnsi="Tahoma" w:cs="Tahoma"/>
      <w:sz w:val="16"/>
      <w:szCs w:val="16"/>
    </w:rPr>
  </w:style>
  <w:style w:type="character" w:styleId="a5">
    <w:name w:val="annotation reference"/>
    <w:basedOn w:val="a0"/>
    <w:uiPriority w:val="99"/>
    <w:semiHidden/>
    <w:unhideWhenUsed/>
    <w:rsid w:val="00987ADF"/>
    <w:rPr>
      <w:sz w:val="16"/>
      <w:szCs w:val="16"/>
    </w:rPr>
  </w:style>
  <w:style w:type="paragraph" w:styleId="a6">
    <w:name w:val="annotation text"/>
    <w:basedOn w:val="a"/>
    <w:link w:val="Char0"/>
    <w:uiPriority w:val="99"/>
    <w:semiHidden/>
    <w:unhideWhenUsed/>
    <w:rsid w:val="00987ADF"/>
    <w:pPr>
      <w:spacing w:line="240" w:lineRule="auto"/>
    </w:pPr>
    <w:rPr>
      <w:sz w:val="20"/>
      <w:szCs w:val="20"/>
    </w:rPr>
  </w:style>
  <w:style w:type="character" w:customStyle="1" w:styleId="Char0">
    <w:name w:val="Κείμενο σχολίου Char"/>
    <w:basedOn w:val="a0"/>
    <w:link w:val="a6"/>
    <w:uiPriority w:val="99"/>
    <w:semiHidden/>
    <w:rsid w:val="00987ADF"/>
    <w:rPr>
      <w:sz w:val="20"/>
      <w:szCs w:val="20"/>
    </w:rPr>
  </w:style>
  <w:style w:type="paragraph" w:styleId="a7">
    <w:name w:val="annotation subject"/>
    <w:basedOn w:val="a6"/>
    <w:next w:val="a6"/>
    <w:link w:val="Char1"/>
    <w:uiPriority w:val="99"/>
    <w:semiHidden/>
    <w:unhideWhenUsed/>
    <w:rsid w:val="00987ADF"/>
    <w:rPr>
      <w:b/>
      <w:bCs/>
    </w:rPr>
  </w:style>
  <w:style w:type="character" w:customStyle="1" w:styleId="Char1">
    <w:name w:val="Θέμα σχολίου Char"/>
    <w:basedOn w:val="Char0"/>
    <w:link w:val="a7"/>
    <w:uiPriority w:val="99"/>
    <w:semiHidden/>
    <w:rsid w:val="00987ADF"/>
    <w:rPr>
      <w:b/>
      <w:bCs/>
      <w:sz w:val="20"/>
      <w:szCs w:val="20"/>
    </w:rPr>
  </w:style>
  <w:style w:type="character" w:customStyle="1" w:styleId="8Char">
    <w:name w:val="Επικεφαλίδα 8 Char"/>
    <w:basedOn w:val="a0"/>
    <w:link w:val="8"/>
    <w:uiPriority w:val="9"/>
    <w:semiHidden/>
    <w:rsid w:val="009A28E5"/>
    <w:rPr>
      <w:rFonts w:asciiTheme="majorHAnsi" w:eastAsiaTheme="majorEastAsia" w:hAnsiTheme="majorHAnsi" w:cstheme="majorBidi"/>
      <w:color w:val="272727" w:themeColor="text1" w:themeTint="D8"/>
      <w:sz w:val="21"/>
      <w:szCs w:val="21"/>
    </w:rPr>
  </w:style>
  <w:style w:type="paragraph" w:customStyle="1" w:styleId="MyHeading1">
    <w:name w:val="My Heading 1"/>
    <w:basedOn w:val="1"/>
    <w:next w:val="a"/>
    <w:qFormat/>
    <w:rsid w:val="009A28E5"/>
    <w:pPr>
      <w:numPr>
        <w:numId w:val="2"/>
      </w:numPr>
      <w:tabs>
        <w:tab w:val="clear" w:pos="510"/>
        <w:tab w:val="clear" w:pos="720"/>
      </w:tabs>
      <w:suppressAutoHyphens w:val="0"/>
      <w:spacing w:before="360" w:after="240" w:line="240" w:lineRule="auto"/>
    </w:pPr>
    <w:rPr>
      <w:rFonts w:ascii="Tahoma" w:hAnsi="Tahoma" w:cs="Tahoma"/>
      <w:sz w:val="28"/>
      <w:szCs w:val="22"/>
      <w:lang w:val="en-GB" w:eastAsia="en-US"/>
    </w:rPr>
  </w:style>
  <w:style w:type="paragraph" w:customStyle="1" w:styleId="MyHeading2">
    <w:name w:val="My Heading 2"/>
    <w:next w:val="a"/>
    <w:rsid w:val="009A28E5"/>
    <w:pPr>
      <w:numPr>
        <w:ilvl w:val="1"/>
        <w:numId w:val="2"/>
      </w:numPr>
      <w:spacing w:before="360" w:after="240" w:line="240" w:lineRule="auto"/>
    </w:pPr>
    <w:rPr>
      <w:rFonts w:ascii="Tahoma" w:eastAsia="Times New Roman" w:hAnsi="Tahoma" w:cs="Tahoma"/>
      <w:b/>
      <w:bCs/>
      <w:sz w:val="24"/>
      <w:lang w:eastAsia="el-GR"/>
    </w:rPr>
  </w:style>
  <w:style w:type="paragraph" w:customStyle="1" w:styleId="MyHeading3">
    <w:name w:val="My Heading 3"/>
    <w:next w:val="a"/>
    <w:rsid w:val="009A28E5"/>
    <w:pPr>
      <w:numPr>
        <w:ilvl w:val="2"/>
        <w:numId w:val="2"/>
      </w:numPr>
      <w:spacing w:before="360" w:after="240" w:line="240" w:lineRule="auto"/>
    </w:pPr>
    <w:rPr>
      <w:rFonts w:ascii="Tahoma" w:eastAsia="Times New Roman" w:hAnsi="Tahoma" w:cs="Tahoma"/>
      <w:b/>
      <w:bCs/>
      <w:lang w:eastAsia="el-GR"/>
    </w:rPr>
  </w:style>
  <w:style w:type="paragraph" w:customStyle="1" w:styleId="MyHeading4">
    <w:name w:val="My Heading 4"/>
    <w:basedOn w:val="a"/>
    <w:next w:val="a"/>
    <w:rsid w:val="009A28E5"/>
    <w:pPr>
      <w:numPr>
        <w:ilvl w:val="3"/>
        <w:numId w:val="2"/>
      </w:numPr>
      <w:spacing w:before="360" w:after="240" w:line="240" w:lineRule="auto"/>
      <w:jc w:val="both"/>
    </w:pPr>
    <w:rPr>
      <w:rFonts w:ascii="Tahoma" w:eastAsia="Times New Roman" w:hAnsi="Tahoma" w:cs="Times New Roman"/>
      <w:b/>
      <w:sz w:val="20"/>
      <w:szCs w:val="24"/>
      <w:lang w:eastAsia="el-GR"/>
    </w:rPr>
  </w:style>
  <w:style w:type="paragraph" w:customStyle="1" w:styleId="Requirements">
    <w:name w:val="Requirements"/>
    <w:basedOn w:val="a"/>
    <w:autoRedefine/>
    <w:rsid w:val="00673486"/>
    <w:pPr>
      <w:tabs>
        <w:tab w:val="left" w:pos="0"/>
      </w:tabs>
      <w:spacing w:after="120" w:line="240" w:lineRule="auto"/>
      <w:jc w:val="both"/>
    </w:pPr>
    <w:rPr>
      <w:rFonts w:ascii="Arial" w:eastAsia="Times New Roman" w:hAnsi="Arial" w:cs="Arial"/>
      <w:bCs/>
      <w:szCs w:val="20"/>
      <w:lang w:eastAsia="el-GR"/>
    </w:rPr>
  </w:style>
  <w:style w:type="paragraph" w:customStyle="1" w:styleId="10">
    <w:name w:val="Έντονο εισαγωγικό1"/>
    <w:basedOn w:val="a"/>
    <w:next w:val="a"/>
    <w:link w:val="IntenseQuoteChar"/>
    <w:uiPriority w:val="30"/>
    <w:qFormat/>
    <w:rsid w:val="00673486"/>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x-none" w:eastAsia="el-GR"/>
    </w:rPr>
  </w:style>
  <w:style w:type="character" w:customStyle="1" w:styleId="IntenseQuoteChar">
    <w:name w:val="Intense Quote Char"/>
    <w:link w:val="10"/>
    <w:uiPriority w:val="30"/>
    <w:rsid w:val="00673486"/>
    <w:rPr>
      <w:rFonts w:ascii="Times New Roman" w:eastAsia="Times New Roman" w:hAnsi="Times New Roman" w:cs="Times New Roman"/>
      <w:b/>
      <w:bCs/>
      <w:i/>
      <w:iCs/>
      <w:color w:val="4F81BD"/>
      <w:sz w:val="20"/>
      <w:szCs w:val="20"/>
      <w:lang w:val="x-none"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A2B1E-0AE2-41C6-8DB6-9034AF68D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1372</Words>
  <Characters>7412</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etean10</dc:creator>
  <cp:lastModifiedBy>ΣΦΥΡΑΚΗΣ ΧΡΥΣΟΒΑΛΑΝΤΗΣ</cp:lastModifiedBy>
  <cp:revision>16</cp:revision>
  <cp:lastPrinted>2017-05-08T11:55:00Z</cp:lastPrinted>
  <dcterms:created xsi:type="dcterms:W3CDTF">2017-07-25T12:47:00Z</dcterms:created>
  <dcterms:modified xsi:type="dcterms:W3CDTF">2017-07-31T11:18:00Z</dcterms:modified>
</cp:coreProperties>
</file>